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985681"/>
      <w:r>
        <w:rPr>
          <w:rFonts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.ZP</w:t>
      </w:r>
      <w:bookmarkEnd w:id="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1" w:name="_Hlk101782975"/>
      <w:r>
        <w:rPr>
          <w:rFonts w:hint="default" w:ascii="Times New Roman" w:hAnsi="Times New Roman"/>
          <w:b/>
          <w:bCs/>
          <w:iCs/>
          <w:sz w:val="24"/>
          <w:szCs w:val="24"/>
        </w:rPr>
        <w:t>Rozbudowa systemu kanalizacji sanitarnej Gminy Wolbrom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>”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End w:id="1"/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 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605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12.000.000,00  zł/brutto.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1368448B"/>
    <w:rsid w:val="77C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214</TotalTime>
  <ScaleCrop>false</ScaleCrop>
  <LinksUpToDate>false</LinksUpToDate>
  <CharactersWithSpaces>615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2021-05-25T06:43:00Z</cp:lastPrinted>
  <dcterms:modified xsi:type="dcterms:W3CDTF">2024-03-04T07:29:32Z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2A90C567A6234ABF922080AA3904C8B0_12</vt:lpwstr>
  </property>
</Properties>
</file>