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1707E9C9" w:rsidR="00CA09E5" w:rsidRPr="00CA09E5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  <w:t xml:space="preserve">Kraków, </w:t>
      </w:r>
      <w:r w:rsidRPr="00CA09E5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dnia </w:t>
      </w:r>
      <w:r w:rsidR="00CD4E60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1</w:t>
      </w:r>
      <w:r w:rsidR="00232B69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7</w:t>
      </w:r>
      <w:r w:rsidR="00CD4E60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maja</w:t>
      </w:r>
      <w:r w:rsidRPr="00CA09E5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2021 r.</w:t>
      </w:r>
    </w:p>
    <w:p w14:paraId="0599914A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6F677B07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6FE7AFC1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  <w:t>WSZYSCY KOGO TO DOTYCZY</w:t>
      </w:r>
    </w:p>
    <w:p w14:paraId="264E74D4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Mangal"/>
          <w:b/>
          <w:kern w:val="2"/>
          <w:sz w:val="24"/>
          <w:szCs w:val="24"/>
          <w:lang w:eastAsia="hi-IN" w:bidi="hi-IN"/>
        </w:rPr>
      </w:pPr>
    </w:p>
    <w:p w14:paraId="2AE4AA48" w14:textId="57775464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dot. sprawy SZP-271-PN-</w:t>
      </w:r>
      <w:r w:rsidR="0061397E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1</w:t>
      </w:r>
      <w:r w:rsidRPr="00CA09E5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/202</w:t>
      </w:r>
      <w:r w:rsidR="0061397E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1</w:t>
      </w:r>
    </w:p>
    <w:p w14:paraId="216547A7" w14:textId="77777777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457A8DAF" w14:textId="77777777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1152" w:hanging="1152"/>
        <w:jc w:val="both"/>
        <w:outlineLvl w:val="5"/>
        <w:rPr>
          <w:rFonts w:ascii="Garamond" w:eastAsia="Calibri" w:hAnsi="Garamond" w:cs="Georgia"/>
          <w:color w:val="000000"/>
          <w:kern w:val="2"/>
          <w:lang w:eastAsia="hi-IN" w:bidi="hi-IN"/>
        </w:rPr>
      </w:pPr>
      <w:r w:rsidRPr="00CA09E5">
        <w:rPr>
          <w:rFonts w:ascii="Garamond" w:eastAsia="Calibri" w:hAnsi="Garamond" w:cs="Georgia"/>
          <w:color w:val="000000"/>
          <w:kern w:val="2"/>
          <w:lang w:eastAsia="hi-IN" w:bidi="hi-IN"/>
        </w:rPr>
        <w:t>Szanowni Państwo,</w:t>
      </w:r>
    </w:p>
    <w:p w14:paraId="099A5F60" w14:textId="77777777" w:rsidR="00CA09E5" w:rsidRPr="00CA09E5" w:rsidRDefault="00CA09E5" w:rsidP="00CA09E5">
      <w:pPr>
        <w:pStyle w:val="Nagwek1"/>
        <w:spacing w:line="276" w:lineRule="auto"/>
        <w:jc w:val="both"/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</w:pPr>
    </w:p>
    <w:p w14:paraId="5B117470" w14:textId="7E978B02" w:rsidR="00CA09E5" w:rsidRDefault="00CA09E5" w:rsidP="00CD4E60">
      <w:pPr>
        <w:pStyle w:val="Nagwek1"/>
        <w:spacing w:line="276" w:lineRule="auto"/>
        <w:jc w:val="both"/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</w:pPr>
      <w:r w:rsidRPr="00CA09E5"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 xml:space="preserve">uprzejmie informuję, że w przetargu nieograniczonym pn.: </w:t>
      </w:r>
      <w:r w:rsidR="00CD4E60" w:rsidRPr="00CD4E60">
        <w:rPr>
          <w:rFonts w:ascii="Garamond" w:hAnsi="Garamond" w:cs="Arial"/>
          <w:sz w:val="22"/>
        </w:rPr>
        <w:t>Usługa wykonania przeglądu i napraw urządzeń i instalacji podczas postoju</w:t>
      </w:r>
      <w:r w:rsidR="00CD4E60">
        <w:rPr>
          <w:rFonts w:ascii="Garamond" w:hAnsi="Garamond" w:cs="Arial"/>
          <w:sz w:val="22"/>
        </w:rPr>
        <w:t xml:space="preserve"> </w:t>
      </w:r>
      <w:r w:rsidR="00CD4E60" w:rsidRPr="00CD4E60">
        <w:rPr>
          <w:rFonts w:ascii="Garamond" w:hAnsi="Garamond" w:cs="Arial"/>
          <w:sz w:val="22"/>
        </w:rPr>
        <w:t>Zakładu Termicznego Przekształcania Odpadów</w:t>
      </w:r>
      <w:r w:rsidR="00CD4E60">
        <w:rPr>
          <w:rFonts w:ascii="Garamond" w:hAnsi="Garamond" w:cs="Arial"/>
          <w:sz w:val="22"/>
        </w:rPr>
        <w:t xml:space="preserve"> </w:t>
      </w:r>
      <w:r w:rsidR="0061397E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Zamawiający przewiduje przeznaczyć na sfinansowanie zamówienia następujące kwoty:</w:t>
      </w:r>
    </w:p>
    <w:tbl>
      <w:tblPr>
        <w:tblW w:w="5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560"/>
        <w:gridCol w:w="723"/>
      </w:tblGrid>
      <w:tr w:rsidR="0061397E" w:rsidRPr="0061397E" w14:paraId="7C6DEC7F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4202BD" w14:textId="33C1545A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6FDE08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1 789 700,00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5BCC9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4849BB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2 201 331,00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03415531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5B8C51EC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16D115" w14:textId="6545B6F3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5FD04C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1 638 000,00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C6B9E4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D64835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2 014 740,00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359CCDB4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434675E5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2FBB47" w14:textId="1450A63C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3065E4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250 000,00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C1A02A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A37E8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307 500,00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6FAFB883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72872639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125B939" w14:textId="00FC9F2B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3F69D2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68 500,00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CB53E9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5F06F2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84 255,00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0D9A4649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7700A3D9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D25264" w14:textId="3053235C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AF9F92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950 000,00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896453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DABE83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1 168 500,00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6BCB72D1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78F56FE6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9AB9A2" w14:textId="57A3478B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D07B28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171 000,00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17863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4330C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210 330,00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29673F55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59983E8E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D2CA74" w14:textId="4D540C83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ADC6BF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321 000,00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AE3194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B0CA58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394 830,00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764F41B2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71D7C6C9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A4A5ED" w14:textId="7F11139F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7E54DC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180 000,00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8A34A5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1264AD" w14:textId="77777777" w:rsidR="0061397E" w:rsidRPr="0061397E" w:rsidRDefault="0061397E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221 400,00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7DAD064E" w14:textId="6012FAFA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b</w:t>
            </w:r>
            <w:r w:rsidRPr="0061397E">
              <w:rPr>
                <w:rFonts w:ascii="Garamond" w:hAnsi="Garamond" w:cs="Calibri"/>
                <w:color w:val="000000"/>
                <w:lang w:eastAsia="pl-PL"/>
              </w:rPr>
              <w:t>rutto</w:t>
            </w:r>
            <w:r>
              <w:rPr>
                <w:rFonts w:ascii="Garamond" w:hAnsi="Garamond" w:cs="Calibri"/>
                <w:color w:val="000000"/>
                <w:lang w:eastAsia="pl-PL"/>
              </w:rPr>
              <w:t>.</w:t>
            </w:r>
          </w:p>
        </w:tc>
      </w:tr>
    </w:tbl>
    <w:p w14:paraId="77711DF5" w14:textId="77777777" w:rsidR="0061397E" w:rsidRPr="0061397E" w:rsidRDefault="0061397E" w:rsidP="0061397E">
      <w:pPr>
        <w:rPr>
          <w:rFonts w:eastAsia="SimSun"/>
          <w:lang w:eastAsia="hi-IN" w:bidi="hi-IN"/>
        </w:rPr>
      </w:pPr>
    </w:p>
    <w:sectPr w:rsidR="0061397E" w:rsidRPr="0061397E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100338"/>
    <w:rsid w:val="001246BB"/>
    <w:rsid w:val="00160A20"/>
    <w:rsid w:val="00167763"/>
    <w:rsid w:val="001732D2"/>
    <w:rsid w:val="00192539"/>
    <w:rsid w:val="00194C6C"/>
    <w:rsid w:val="001A7C63"/>
    <w:rsid w:val="001B08E0"/>
    <w:rsid w:val="001D7D5C"/>
    <w:rsid w:val="001E1E1D"/>
    <w:rsid w:val="001F3B79"/>
    <w:rsid w:val="00212C43"/>
    <w:rsid w:val="002206F7"/>
    <w:rsid w:val="00232B69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1223"/>
    <w:rsid w:val="005E5F3F"/>
    <w:rsid w:val="0061397E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80565C"/>
    <w:rsid w:val="00827851"/>
    <w:rsid w:val="00832D2D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D4E60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Elżbieta Kurek</cp:lastModifiedBy>
  <cp:revision>3</cp:revision>
  <cp:lastPrinted>2020-10-09T10:06:00Z</cp:lastPrinted>
  <dcterms:created xsi:type="dcterms:W3CDTF">2021-04-01T07:49:00Z</dcterms:created>
  <dcterms:modified xsi:type="dcterms:W3CDTF">2021-05-14T10:04:00Z</dcterms:modified>
</cp:coreProperties>
</file>