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89" w:rsidRDefault="00D61A89">
      <w:pPr>
        <w:widowControl w:val="0"/>
        <w:spacing w:after="0"/>
        <w:rPr>
          <w:rFonts w:eastAsia="Times New Roman"/>
          <w:b/>
          <w:bCs/>
          <w:sz w:val="24"/>
          <w:szCs w:val="24"/>
          <w:lang w:eastAsia="zh-CN"/>
        </w:rPr>
      </w:pPr>
    </w:p>
    <w:p w:rsidR="00D61A89" w:rsidRDefault="00865FB0">
      <w:pPr>
        <w:widowControl w:val="0"/>
        <w:spacing w:after="0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I. CHARAKTERYSTYKA WYROBU</w:t>
      </w:r>
    </w:p>
    <w:p w:rsidR="00D61A89" w:rsidRDefault="00865FB0">
      <w:pPr>
        <w:widowControl w:val="0"/>
        <w:spacing w:after="0"/>
        <w:ind w:left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Przedmiotem opracowania są wymagania techniczne dla </w:t>
      </w:r>
      <w:proofErr w:type="spellStart"/>
      <w:r>
        <w:rPr>
          <w:rFonts w:eastAsia="Times New Roman"/>
          <w:lang w:eastAsia="zh-CN"/>
        </w:rPr>
        <w:t>minibusa</w:t>
      </w:r>
      <w:proofErr w:type="spellEnd"/>
      <w:r>
        <w:rPr>
          <w:rFonts w:eastAsia="Times New Roman"/>
          <w:lang w:eastAsia="zh-CN"/>
        </w:rPr>
        <w:t xml:space="preserve"> turystycznego przeznaczonego dla 20 osób (19 pasażerów + kierowca).</w:t>
      </w:r>
    </w:p>
    <w:p w:rsidR="00D61A89" w:rsidRDefault="00865FB0">
      <w:pPr>
        <w:widowControl w:val="0"/>
        <w:spacing w:after="0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II. DOKUMENTY ODNIESIENIA</w:t>
      </w:r>
    </w:p>
    <w:p w:rsidR="00D61A89" w:rsidRDefault="00865FB0">
      <w:pPr>
        <w:spacing w:after="0"/>
        <w:ind w:left="425" w:hanging="425"/>
        <w:jc w:val="both"/>
        <w:rPr>
          <w:rFonts w:eastAsia="Times New Roman"/>
          <w:lang w:eastAsia="ar-SA"/>
        </w:rPr>
      </w:pPr>
      <w:r>
        <w:rPr>
          <w:rFonts w:eastAsia="Calibri"/>
        </w:rPr>
        <w:t xml:space="preserve">1.1   Ustawa z dnia 20 czerwca 1997 r. Prawo o ruchu drogowym </w:t>
      </w:r>
      <w:r>
        <w:rPr>
          <w:rFonts w:eastAsia="Times New Roman"/>
          <w:lang w:eastAsia="ar-SA"/>
        </w:rPr>
        <w:t>(</w:t>
      </w:r>
      <w:r>
        <w:t xml:space="preserve">tj. Dz.U. 2023 poz. 1047 z </w:t>
      </w:r>
      <w:proofErr w:type="spellStart"/>
      <w:r>
        <w:t>późn</w:t>
      </w:r>
      <w:proofErr w:type="spellEnd"/>
      <w:r>
        <w:t>. zm.</w:t>
      </w:r>
      <w:r>
        <w:rPr>
          <w:rFonts w:eastAsia="Times New Roman"/>
          <w:lang w:eastAsia="ar-SA"/>
        </w:rPr>
        <w:t>).</w:t>
      </w:r>
    </w:p>
    <w:p w:rsidR="00D61A89" w:rsidRDefault="00865FB0">
      <w:pPr>
        <w:widowControl w:val="0"/>
        <w:numPr>
          <w:ilvl w:val="1"/>
          <w:numId w:val="7"/>
        </w:numPr>
        <w:tabs>
          <w:tab w:val="left" w:pos="426"/>
          <w:tab w:val="left" w:pos="786"/>
          <w:tab w:val="left" w:pos="851"/>
          <w:tab w:val="left" w:pos="1175"/>
        </w:tabs>
        <w:spacing w:after="0"/>
        <w:ind w:left="425" w:hanging="425"/>
        <w:jc w:val="both"/>
        <w:rPr>
          <w:rFonts w:eastAsia="Calibri"/>
        </w:rPr>
      </w:pPr>
      <w:r>
        <w:rPr>
          <w:rFonts w:eastAsia="Calibri"/>
        </w:rPr>
        <w:t>Rozporządzenie Ministra Infrastruktury z dnia 31 grudnia 2002 r. w sprawie warunków t</w:t>
      </w:r>
      <w:bookmarkStart w:id="0" w:name="_GoBack"/>
      <w:bookmarkEnd w:id="0"/>
      <w:r>
        <w:rPr>
          <w:rFonts w:eastAsia="Calibri"/>
        </w:rPr>
        <w:t>echnicznych pojazdów oraz ich niezbędnego wyposażenia (Dz.U. 2024 poz. 502</w:t>
      </w:r>
      <w:r>
        <w:rPr>
          <w:rFonts w:eastAsia="Times New Roman"/>
          <w:lang w:eastAsia="ar-SA"/>
        </w:rPr>
        <w:t>).</w:t>
      </w:r>
    </w:p>
    <w:p w:rsidR="00D61A89" w:rsidRDefault="00D61A89">
      <w:pPr>
        <w:widowControl w:val="0"/>
        <w:spacing w:after="0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widowControl w:val="0"/>
        <w:spacing w:after="0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III. WYMAGANIA TECHNICZNE</w:t>
      </w: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 xml:space="preserve">Przeznaczenie pojazdu </w:t>
      </w:r>
    </w:p>
    <w:p w:rsidR="00D61A89" w:rsidRDefault="00865FB0">
      <w:pPr>
        <w:pStyle w:val="Akapitzlist"/>
        <w:widowControl w:val="0"/>
        <w:spacing w:after="0"/>
        <w:ind w:left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Pojaz</w:t>
      </w:r>
      <w:r>
        <w:rPr>
          <w:rFonts w:eastAsia="Times New Roman"/>
          <w:lang w:eastAsia="zh-CN"/>
        </w:rPr>
        <w:t xml:space="preserve">d będzie wykorzystywany przez Policję do przewozu policjantów i pracowników Policji oraz </w:t>
      </w:r>
      <w:r>
        <w:rPr>
          <w:rFonts w:eastAsia="Times New Roman"/>
          <w:lang w:eastAsia="zh-CN"/>
        </w:rPr>
        <w:br/>
        <w:t>do realizacji innych zadań transportowych.</w:t>
      </w: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 xml:space="preserve">Warunki eksploatacji </w:t>
      </w:r>
    </w:p>
    <w:p w:rsidR="00D61A89" w:rsidRDefault="00865FB0">
      <w:pPr>
        <w:pStyle w:val="Akapitzlist"/>
        <w:widowControl w:val="0"/>
        <w:spacing w:after="0"/>
        <w:ind w:left="709" w:hanging="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Pojazd musi być przystosowany do: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Eksploatacji we wszystkich porach roku i doby w warunkach atmosfery</w:t>
      </w:r>
      <w:r>
        <w:rPr>
          <w:rFonts w:eastAsia="Times New Roman"/>
          <w:color w:val="000000"/>
          <w:lang w:eastAsia="zh-CN"/>
        </w:rPr>
        <w:t xml:space="preserve">cznych spotykanych </w:t>
      </w:r>
      <w:r>
        <w:rPr>
          <w:rFonts w:eastAsia="Times New Roman"/>
          <w:color w:val="000000"/>
          <w:lang w:eastAsia="zh-CN"/>
        </w:rPr>
        <w:br/>
        <w:t>w polskiej strefie klimatycznej: w temperaturach otoczenia od -30</w:t>
      </w:r>
      <w:r>
        <w:rPr>
          <w:rFonts w:eastAsia="Times New Roman"/>
          <w:color w:val="000000"/>
          <w:vertAlign w:val="superscript"/>
          <w:lang w:eastAsia="zh-CN"/>
        </w:rPr>
        <w:t>o</w:t>
      </w:r>
      <w:r>
        <w:rPr>
          <w:rFonts w:eastAsia="Times New Roman"/>
          <w:color w:val="000000"/>
          <w:lang w:eastAsia="zh-CN"/>
        </w:rPr>
        <w:t>C do + 50</w:t>
      </w:r>
      <w:r>
        <w:rPr>
          <w:rFonts w:eastAsia="Times New Roman"/>
          <w:color w:val="000000"/>
          <w:vertAlign w:val="superscript"/>
          <w:lang w:eastAsia="zh-CN"/>
        </w:rPr>
        <w:t>o</w:t>
      </w:r>
      <w:r>
        <w:rPr>
          <w:rFonts w:eastAsia="Times New Roman"/>
          <w:color w:val="000000"/>
          <w:lang w:eastAsia="zh-CN"/>
        </w:rPr>
        <w:t>C, przy zapyleniu powietrza do 1,0 g/m</w:t>
      </w:r>
      <w:r>
        <w:rPr>
          <w:rFonts w:eastAsia="Times New Roman"/>
          <w:color w:val="000000"/>
          <w:vertAlign w:val="superscript"/>
          <w:lang w:eastAsia="zh-CN"/>
        </w:rPr>
        <w:t>3</w:t>
      </w:r>
      <w:r>
        <w:rPr>
          <w:rFonts w:eastAsia="Times New Roman"/>
          <w:color w:val="000000"/>
          <w:lang w:eastAsia="zh-CN"/>
        </w:rPr>
        <w:t xml:space="preserve"> w czasie 5 godzin, przy prędkości wiatru do 20 m/s, przy wilgotności względnej powietrza do 98% (przy temperaturze +25</w:t>
      </w:r>
      <w:r>
        <w:rPr>
          <w:rFonts w:eastAsia="Times New Roman"/>
          <w:color w:val="000000"/>
          <w:vertAlign w:val="superscript"/>
          <w:lang w:eastAsia="zh-CN"/>
        </w:rPr>
        <w:t>o</w:t>
      </w:r>
      <w:r>
        <w:rPr>
          <w:rFonts w:eastAsia="Times New Roman"/>
          <w:color w:val="000000"/>
          <w:lang w:eastAsia="zh-CN"/>
        </w:rPr>
        <w:t>C</w:t>
      </w:r>
      <w:r>
        <w:rPr>
          <w:rFonts w:eastAsia="Times New Roman"/>
          <w:color w:val="000000"/>
          <w:lang w:eastAsia="zh-CN"/>
        </w:rPr>
        <w:t>), intensywności deszczu do 180 mm/h trwającego 5 minut.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Jazdy po drogach twardych i gruntowych.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Przechowywania na wolnym powietrzu.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Mycia w myjniach automatycznych szczotkowych.</w:t>
      </w:r>
    </w:p>
    <w:p w:rsidR="00D61A89" w:rsidRDefault="00D61A89">
      <w:pPr>
        <w:pStyle w:val="Akapitzlist"/>
        <w:widowControl w:val="0"/>
        <w:spacing w:after="0"/>
        <w:ind w:left="709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lang w:eastAsia="zh-CN"/>
        </w:rPr>
        <w:t>Wymagania formalne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Pojazd musi być budowany z wykorzystaniem pojazdu bazowego posiadającego homologację wystawioną zgodnie z Ustawą z dnia 20 czerwca 1997 r. Prawo o ruchu drogowym lub Rozporządzeniem Parlamentu Europejskiego i Rady (UE) 2018/858  z dnia 30 maja 2018 r. w sp</w:t>
      </w:r>
      <w:r>
        <w:rPr>
          <w:rFonts w:eastAsia="Times New Roman"/>
          <w:lang w:eastAsia="zh-CN"/>
        </w:rPr>
        <w:t xml:space="preserve">rawie homologacji i nadzoru rynku pojazdów silnikowych i ich przyczep oraz układów, komponentów i oddzielnych zespołów technicznych przeznaczonych do tych pojazdów, zmieniającym rozporządzenie (WE) nr 715/2007 i (WE) nr 595/2009 oraz uchylającym dyrektywę </w:t>
      </w:r>
      <w:r>
        <w:rPr>
          <w:rFonts w:eastAsia="Times New Roman"/>
          <w:lang w:eastAsia="zh-CN"/>
        </w:rPr>
        <w:t xml:space="preserve">2007/46/WE (Dz. U UE.L.2018.151.1 z </w:t>
      </w:r>
      <w:proofErr w:type="spellStart"/>
      <w:r>
        <w:rPr>
          <w:rFonts w:eastAsia="Times New Roman"/>
          <w:lang w:eastAsia="zh-CN"/>
        </w:rPr>
        <w:t>późn</w:t>
      </w:r>
      <w:proofErr w:type="spellEnd"/>
      <w:r>
        <w:rPr>
          <w:rFonts w:eastAsia="Times New Roman"/>
          <w:lang w:eastAsia="zh-CN"/>
        </w:rPr>
        <w:t xml:space="preserve">. zm.). </w:t>
      </w:r>
      <w:r>
        <w:rPr>
          <w:rFonts w:eastAsia="Times New Roman"/>
          <w:b/>
          <w:i/>
          <w:lang w:eastAsia="zh-CN"/>
        </w:rPr>
        <w:t>Dokument potwierdzający spełnienie wymogu (świadectwo zgodności WE pojazdu tej samej marki, typu, wariantu oraz wersji jak pojazd bazowy) musi być przedstawiony przez Wykonawcę w fazie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b/>
          <w:i/>
          <w:lang w:eastAsia="zh-CN"/>
        </w:rPr>
        <w:t>składania oferty przeta</w:t>
      </w:r>
      <w:r>
        <w:rPr>
          <w:rFonts w:eastAsia="Times New Roman"/>
          <w:b/>
          <w:i/>
          <w:lang w:eastAsia="zh-CN"/>
        </w:rPr>
        <w:t>rgowej.</w:t>
      </w:r>
    </w:p>
    <w:p w:rsidR="00D61A89" w:rsidRDefault="00D61A89">
      <w:pPr>
        <w:widowControl w:val="0"/>
        <w:spacing w:after="0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 xml:space="preserve">Pojazd musi posiadać dokument potwierdzający spełnienie warunku dodatkowego dla autobusu </w:t>
      </w:r>
      <w:r>
        <w:rPr>
          <w:rFonts w:eastAsia="Times New Roman"/>
          <w:lang w:eastAsia="zh-CN"/>
        </w:rPr>
        <w:br/>
        <w:t>o dopuszczalnej prędkości do 100 km/h (TEMPO 10</w:t>
      </w:r>
      <w:r>
        <w:rPr>
          <w:rFonts w:eastAsia="Times New Roman"/>
          <w:sz w:val="22"/>
          <w:szCs w:val="22"/>
          <w:lang w:eastAsia="zh-CN"/>
        </w:rPr>
        <w:t xml:space="preserve">0). 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Wszystkie podzespoły elektryczne i elektroniczne montowane dodatkowo muszą posiadać świadectwo homologacji na zgodność z Regulaminem 10 EKG/ONZ. Warunek dotyczy podzespołów przymocowanych mechanicznie do pojazdu (bez możliwości rozmontowania lub wymontowan</w:t>
      </w:r>
      <w:r>
        <w:rPr>
          <w:rFonts w:eastAsia="Times New Roman"/>
          <w:lang w:eastAsia="zh-CN"/>
        </w:rPr>
        <w:t xml:space="preserve">ia bez użycia narzędzi), których użycie nie jest ograniczone do pojazdu nieruchomego z wyłączeniem podzespołów zamontowanych fabrycznie przez producenta pojazdu i uwzględnionych w homologacji pojazdu. </w:t>
      </w:r>
      <w:r>
        <w:rPr>
          <w:rFonts w:eastAsia="Times New Roman"/>
          <w:b/>
          <w:bCs/>
          <w:i/>
          <w:iCs/>
          <w:lang w:eastAsia="zh-CN"/>
        </w:rPr>
        <w:t>Dokument potwierdzający spełnienie wymogu musi być prze</w:t>
      </w:r>
      <w:r>
        <w:rPr>
          <w:rFonts w:eastAsia="Times New Roman"/>
          <w:b/>
          <w:bCs/>
          <w:i/>
          <w:iCs/>
          <w:lang w:eastAsia="zh-CN"/>
        </w:rPr>
        <w:t>dstawiony przez Wykonawcę w fazie oceny projektu modyfikacji pojazdu.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Dostarczony pojazd musi mieć wykonane przez Wykonawcę i na jego koszt przegląd zerowy, co musi być potwierdzone w dokumentacji pojazdu.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W celu potwierdzenia spełnienia przez oferowany po</w:t>
      </w:r>
      <w:r>
        <w:rPr>
          <w:rFonts w:eastAsia="Times New Roman"/>
          <w:color w:val="000000"/>
          <w:lang w:eastAsia="zh-CN"/>
        </w:rPr>
        <w:t>jazd poszczególnych punktów specyfikacji technicznej Zamawiający zastrzega sobie prawo do żądania przedstawienia przez Wykonawcę niezbędnych dokumentów, w szczególności dokumentacji technicznej pojazdu i wyników badań laboratoryjnych.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W fazie oceny projekt</w:t>
      </w:r>
      <w:r>
        <w:rPr>
          <w:rFonts w:eastAsia="Times New Roman"/>
          <w:lang w:eastAsia="zh-CN"/>
        </w:rPr>
        <w:t xml:space="preserve">u modyfikacji pojazdu Wykonawca zobowiązany jest do konsultowania </w:t>
      </w:r>
      <w:r>
        <w:rPr>
          <w:rFonts w:eastAsia="Times New Roman"/>
          <w:lang w:eastAsia="zh-CN"/>
        </w:rPr>
        <w:br/>
        <w:t>i uzyskania akceptacji przez Zamawiającego proponowanych do zastosowania w pojeździe rozwiązań konstrukcyjnych i funkcjonalnych dotyczących zabudowy pojazdu.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Wykonawca musi potwierdzić speł</w:t>
      </w:r>
      <w:r>
        <w:rPr>
          <w:rFonts w:eastAsia="Times New Roman"/>
          <w:lang w:eastAsia="zh-CN"/>
        </w:rPr>
        <w:t>nienie wszystkich wymagań technicznych dla pojazdu bazowego określonych w pkt 1.4 w formie szczegółowego opisu przedmiotu zamówienia oraz poprzez zaznaczenie poszczególnych danych w oficjalnych katalogach (w języku polskim) producenta/ importera pojazdu, z</w:t>
      </w:r>
      <w:r>
        <w:rPr>
          <w:rFonts w:eastAsia="Times New Roman"/>
          <w:lang w:eastAsia="zh-CN"/>
        </w:rPr>
        <w:t xml:space="preserve">awierających dane techniczne oraz wyposażenie pojazdu bazowego. </w:t>
      </w:r>
    </w:p>
    <w:p w:rsidR="00D61A89" w:rsidRDefault="00865FB0">
      <w:pPr>
        <w:pStyle w:val="Akapitzlist"/>
        <w:widowControl w:val="0"/>
        <w:spacing w:after="0"/>
        <w:ind w:left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i/>
          <w:iCs/>
          <w:lang w:eastAsia="zh-CN"/>
        </w:rPr>
        <w:t xml:space="preserve">Dokumenty te muszą być przedstawione przez Wykonawcę w fazie składania oferty </w:t>
      </w:r>
      <w:r>
        <w:rPr>
          <w:rFonts w:eastAsia="Times New Roman"/>
          <w:b/>
          <w:bCs/>
          <w:i/>
          <w:iCs/>
          <w:lang w:eastAsia="zh-CN"/>
        </w:rPr>
        <w:lastRenderedPageBreak/>
        <w:t>przetargowej.</w:t>
      </w:r>
    </w:p>
    <w:p w:rsidR="00D61A89" w:rsidRDefault="00D61A89">
      <w:pPr>
        <w:pStyle w:val="Akapitzlist"/>
        <w:widowControl w:val="0"/>
        <w:spacing w:after="0"/>
        <w:ind w:left="709"/>
        <w:jc w:val="both"/>
        <w:rPr>
          <w:rFonts w:eastAsia="Times New Roman"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sz w:val="22"/>
          <w:szCs w:val="22"/>
          <w:lang w:eastAsia="zh-CN"/>
        </w:rPr>
      </w:pPr>
      <w:r>
        <w:rPr>
          <w:rFonts w:eastAsia="Times New Roman"/>
          <w:b/>
          <w:bCs/>
          <w:sz w:val="22"/>
          <w:szCs w:val="22"/>
          <w:lang w:eastAsia="zh-CN"/>
        </w:rPr>
        <w:t>Wymagania techniczne dla pojazdu bazowego</w:t>
      </w:r>
    </w:p>
    <w:p w:rsidR="00D61A89" w:rsidRDefault="00D61A89">
      <w:pPr>
        <w:pStyle w:val="Akapitzlist"/>
        <w:widowControl w:val="0"/>
        <w:spacing w:after="0"/>
        <w:ind w:left="709"/>
        <w:jc w:val="both"/>
        <w:rPr>
          <w:rFonts w:eastAsia="Times New Roman"/>
          <w:b/>
          <w:bCs/>
          <w:sz w:val="8"/>
          <w:szCs w:val="8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Wymagania techniczne dla nadwozia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Rok produkcji zgodny </w:t>
      </w:r>
      <w:r>
        <w:rPr>
          <w:rFonts w:eastAsia="Times New Roman"/>
          <w:bCs/>
          <w:lang w:eastAsia="zh-CN"/>
        </w:rPr>
        <w:t>z rokiem dostawy (2024).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Pojazd kategorii</w:t>
      </w:r>
      <w:r>
        <w:rPr>
          <w:rFonts w:eastAsia="Times New Roman"/>
          <w:color w:val="FF0000"/>
          <w:lang w:eastAsia="zh-CN"/>
        </w:rPr>
        <w:t xml:space="preserve"> </w:t>
      </w:r>
      <w:r>
        <w:rPr>
          <w:rFonts w:eastAsia="Times New Roman"/>
          <w:lang w:eastAsia="zh-CN"/>
        </w:rPr>
        <w:t>M2 – autobus z dachem o konstrukcji i poszyciu wykonanym z metalu.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 xml:space="preserve">Pojazd wyposażony w drzwi zewnętrzne: przednie lewe, boczne, przeszklone, skrzydłowe; przednie prawe, boczne, przeszklone, otwierane elektrycznie; </w:t>
      </w:r>
      <w:r>
        <w:rPr>
          <w:rFonts w:eastAsia="Times New Roman"/>
          <w:lang w:eastAsia="zh-CN"/>
        </w:rPr>
        <w:t>z tyłu nadwozia przedziału bagażowego, dwuskrzydłowe, symetrycznie otwierane na boki pod kątem min. 250</w:t>
      </w:r>
      <w:r>
        <w:rPr>
          <w:rFonts w:eastAsia="Times New Roman"/>
          <w:vertAlign w:val="superscript"/>
          <w:lang w:eastAsia="zh-CN"/>
        </w:rPr>
        <w:t>o</w:t>
      </w:r>
      <w:r>
        <w:rPr>
          <w:rFonts w:eastAsia="Times New Roman"/>
          <w:lang w:eastAsia="zh-CN"/>
        </w:rPr>
        <w:t>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Liczba miejsc siedzących 19 + 1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 xml:space="preserve">Rozstaw osi nie mniejszy niż 4 300 mm (według danych ze świadectwa homologacji typu pojazdu lub świadectwa zgodności </w:t>
      </w:r>
      <w:r>
        <w:rPr>
          <w:rFonts w:eastAsia="Times New Roman"/>
          <w:lang w:eastAsia="zh-CN"/>
        </w:rPr>
        <w:t>WE).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Długość całkowita pojazdu nie mniejsza niż 7 550 mm (według danych z wyciągu ze świadectwa homologacji typu pojazdu lub świadectwa zgodności WE).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 xml:space="preserve">Szerokość całkowita pojazdu nie mniejsza niż 1 950 mm (według danych z wyciągu ze świadectwa homologacji </w:t>
      </w:r>
      <w:r>
        <w:rPr>
          <w:rFonts w:eastAsia="Times New Roman"/>
          <w:lang w:eastAsia="zh-CN"/>
        </w:rPr>
        <w:t>typu lub świadectwa zgodności WE).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Dopuszczalna masa całkowita pojazdu nie większa niż 5 500 kg (według danych z wyciągu ze świadectwa homologacji typu lub świadectwa  zgodności WE).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Lakierowane zderzaki, listwy, klamka, lusterka i grill w kolorze pojazdu.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lang w:eastAsia="zh-CN"/>
        </w:rPr>
        <w:t>Wymagania techniczne dla silnika i układu zasilania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Silnik spalinowy o zapłonie samoczynnym spełniający co najmniej normę emisji spalin Euro VI E.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Pojemność skokowa silnika nie mniejsza niż 1 900 cm</w:t>
      </w:r>
      <w:r>
        <w:rPr>
          <w:rFonts w:eastAsia="Times New Roman"/>
          <w:vertAlign w:val="superscript"/>
          <w:lang w:eastAsia="zh-CN"/>
        </w:rPr>
        <w:t>3</w:t>
      </w:r>
      <w:r>
        <w:rPr>
          <w:rFonts w:eastAsia="Times New Roman"/>
          <w:lang w:eastAsia="zh-CN"/>
        </w:rPr>
        <w:t xml:space="preserve"> (wg danych z świadectwa zgodności WE).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 xml:space="preserve">Maksymalna moc </w:t>
      </w:r>
      <w:r>
        <w:rPr>
          <w:rFonts w:eastAsia="Times New Roman"/>
          <w:lang w:eastAsia="zh-CN"/>
        </w:rPr>
        <w:t>netto silnika nie mniejsza niż 130 kW (według danych z wyciągu ze świadectwa homologacji typu pojazdu lub z świadectwa zgodności WE).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Pojemność zbiornika paliwa nie mniejsza niż 90 dm</w:t>
      </w:r>
      <w:r>
        <w:rPr>
          <w:rFonts w:eastAsia="Times New Roman"/>
          <w:vertAlign w:val="superscript"/>
          <w:lang w:eastAsia="zh-CN"/>
        </w:rPr>
        <w:t>3</w:t>
      </w:r>
      <w:r>
        <w:rPr>
          <w:rFonts w:eastAsia="Times New Roman"/>
          <w:lang w:eastAsia="zh-CN"/>
        </w:rPr>
        <w:t xml:space="preserve"> paliwa (według deklaracji producenta).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Warunki techniczne dla układu h</w:t>
      </w:r>
      <w:r>
        <w:rPr>
          <w:rFonts w:eastAsia="Times New Roman"/>
          <w:b/>
          <w:bCs/>
          <w:lang w:eastAsia="zh-CN"/>
        </w:rPr>
        <w:t>amulcowego</w:t>
      </w:r>
    </w:p>
    <w:p w:rsidR="00D61A89" w:rsidRDefault="00865FB0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Układ hamulcowy hydrauliczny lub pneumatyczny musi być wyposażony co najmniej w: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Układ zapobiegający blokowaniu kół pojazdu podczas hamowania.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Asystenta siły hamowania.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Rozdział siły hamowania na przednią i tylną oś pojazdu. 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Warunki techniczne</w:t>
      </w:r>
      <w:r>
        <w:rPr>
          <w:rFonts w:eastAsia="Times New Roman"/>
          <w:b/>
          <w:bCs/>
          <w:lang w:eastAsia="zh-CN"/>
        </w:rPr>
        <w:t xml:space="preserve"> dla układu kierowniczego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Regulacja kolumny kierowniczej w płaszczyznach: góra – dół, przód – tył.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Elektryczne wspomaganie układu kierowniczego.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Asystent utrzymania pasa ruchu.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Tempomat.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Kolumna kierownicza po lewej stronie pojazdu.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 xml:space="preserve">Kierownica </w:t>
      </w:r>
      <w:r>
        <w:rPr>
          <w:rFonts w:eastAsia="Times New Roman"/>
          <w:lang w:eastAsia="zh-CN"/>
        </w:rPr>
        <w:t>wielofunkcyjna i komputer pokładowy.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Wymagania techniczne dla układu napędowego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Przeniesienie napędu na tylną oś pojazdu.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Tylna oś napędowa </w:t>
      </w:r>
      <w:r>
        <w:rPr>
          <w:rFonts w:eastAsia="Times New Roman"/>
          <w:lang w:eastAsia="zh-CN"/>
        </w:rPr>
        <w:t>wyposażona w koła bliźniacze.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Skrzynia biegów automatyczna lub manualna o min. 6 przełożeniach do przodu.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Układ zap</w:t>
      </w:r>
      <w:r>
        <w:rPr>
          <w:rFonts w:eastAsia="Times New Roman"/>
          <w:color w:val="000000"/>
          <w:lang w:eastAsia="zh-CN"/>
        </w:rPr>
        <w:t>obiegający poślizgowi kół przy ruszaniu.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System stabilizacji toru jazdy.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Pojazd musi spełniać warunki dodatkowe dla autobusów o dopuszczalnej prędkości do 100 km/h.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Wymagania techniczne dla kół jezdnych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Koła jezdne na poszczególnych osiach z ogumieniem be</w:t>
      </w:r>
      <w:r>
        <w:rPr>
          <w:rFonts w:eastAsia="Times New Roman"/>
          <w:lang w:eastAsia="zh-CN"/>
        </w:rPr>
        <w:t>zdętkowym.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Komplet 6 kół z ogumieniem letnim z fabrycznej oferty producenta pojazdów.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Pojazd musi być wyposażony w 6 kół z ogumieniem zimowym o rozmiarze identycznym</w:t>
      </w:r>
      <w:r>
        <w:rPr>
          <w:rFonts w:eastAsia="Times New Roman"/>
          <w:b/>
          <w:color w:val="000000"/>
          <w:lang w:eastAsia="zh-CN"/>
        </w:rPr>
        <w:t xml:space="preserve"> </w:t>
      </w:r>
      <w:r>
        <w:rPr>
          <w:rFonts w:eastAsia="Times New Roman"/>
          <w:color w:val="000000"/>
          <w:lang w:eastAsia="zh-CN"/>
        </w:rPr>
        <w:t xml:space="preserve">z kołami opisanymi w pkt 1.4.6.2. </w:t>
      </w:r>
      <w:r>
        <w:rPr>
          <w:rFonts w:eastAsia="Times New Roman"/>
          <w:lang w:eastAsia="zh-CN"/>
        </w:rPr>
        <w:t xml:space="preserve">Pojazd musi być wyposażony w pełnowymiarowe koło </w:t>
      </w:r>
      <w:r>
        <w:rPr>
          <w:rFonts w:eastAsia="Times New Roman"/>
          <w:lang w:eastAsia="zh-CN"/>
        </w:rPr>
        <w:t>zapasowe identyczne z kołami (obręcz + opona) opisanymi w pkt 1.4.6.2.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Opony zimowe muszą posiadać przyczepność co najmniej klasy C zgodnie z Rozporządzeniem Parlamentu Europejskiego i Rady (</w:t>
      </w:r>
      <w:r>
        <w:rPr>
          <w:rFonts w:eastAsia="Times New Roman"/>
          <w:lang w:eastAsia="zh-CN"/>
        </w:rPr>
        <w:t xml:space="preserve">UE) 2020/740 z dnia 25 maja 2020 r. </w:t>
      </w:r>
      <w:r>
        <w:rPr>
          <w:rFonts w:eastAsia="Times New Roman"/>
          <w:color w:val="000000"/>
          <w:lang w:eastAsia="zh-CN"/>
        </w:rPr>
        <w:t xml:space="preserve">w sprawie etykietowania </w:t>
      </w:r>
      <w:r>
        <w:rPr>
          <w:rFonts w:eastAsia="Times New Roman"/>
          <w:color w:val="000000"/>
          <w:lang w:eastAsia="zh-CN"/>
        </w:rPr>
        <w:lastRenderedPageBreak/>
        <w:t xml:space="preserve">opon </w:t>
      </w:r>
      <w:r>
        <w:rPr>
          <w:rFonts w:eastAsia="Times New Roman"/>
          <w:color w:val="000000"/>
          <w:lang w:eastAsia="zh-CN"/>
        </w:rPr>
        <w:t>pod kątem efektywności paliwowej i innych parametrów.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Zastosowane zespoły opona/koło na poszczególnych osiach pojazdu opisane w pkt 1.4.6.2 muszą być zgodne z danymi ze świadectwa zgodności WE.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Felgi aluminiowe lub stalowe (w przypadku felg stalowych wymag</w:t>
      </w:r>
      <w:r>
        <w:rPr>
          <w:rFonts w:eastAsia="Times New Roman"/>
          <w:color w:val="000000"/>
          <w:lang w:eastAsia="zh-CN"/>
        </w:rPr>
        <w:t>ane kołpaki).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Opony nie mogą być starsze niż 78 tygodni licząc od końcowego terminu realizacji umowy.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Opony muszą być fabrycznie nowe i homologowane. Zamawiający nie dopuszcza opon bieżnikowanych.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Koła </w:t>
      </w:r>
      <w:r>
        <w:rPr>
          <w:rFonts w:eastAsia="Times New Roman"/>
          <w:lang w:eastAsia="zh-CN"/>
        </w:rPr>
        <w:t xml:space="preserve">wewnętrzne tylnej osi muszą posiadać przedłużane </w:t>
      </w:r>
      <w:r>
        <w:rPr>
          <w:rFonts w:eastAsia="Times New Roman"/>
          <w:lang w:eastAsia="zh-CN"/>
        </w:rPr>
        <w:t>wentyle.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>Wymagania techniczne dla instalacji elektrycznej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Napięcie znamionowe instalacji elektrycznej 12 V DC („-” na masie).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Akumulator o największej dostępnej pojemności i największym prądzie rozruchowym z fabrycznej oferty producenta pojazdu.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Alternat</w:t>
      </w:r>
      <w:r>
        <w:rPr>
          <w:rFonts w:eastAsia="Times New Roman"/>
          <w:color w:val="000000"/>
          <w:lang w:eastAsia="zh-CN"/>
        </w:rPr>
        <w:t>or o najwyższej mocy z fabrycznej oferty producenta pojazdu.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>Wymagania techniczne dla wyposażenia pojazdu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Fotel kierowcy wyposażony w trzypunktowe pasy bezpieczeństwa, komfortowy, resorowany hydraulicznie, z regulacją</w:t>
      </w:r>
      <w:r>
        <w:rPr>
          <w:rFonts w:eastAsia="Times New Roman"/>
          <w:color w:val="000000"/>
          <w:lang w:eastAsia="zh-CN"/>
        </w:rPr>
        <w:t xml:space="preserve"> co najmniej w płaszczyznach: przód-ty</w:t>
      </w:r>
      <w:r>
        <w:rPr>
          <w:rFonts w:eastAsia="Times New Roman"/>
          <w:color w:val="000000"/>
          <w:lang w:eastAsia="zh-CN"/>
        </w:rPr>
        <w:t>ł, góra-dół</w:t>
      </w:r>
      <w:r>
        <w:rPr>
          <w:rFonts w:eastAsia="Times New Roman"/>
          <w:lang w:eastAsia="zh-CN"/>
        </w:rPr>
        <w:t xml:space="preserve"> oraz pochylenia oparcia, z podłokietnikiem z prawej strony.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Poduszka gazowa przednia dla kierowcy.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 w:line="240" w:lineRule="auto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Szyba przednia panoramiczna, ogrzewana.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Elektrycznie opuszczana i podnoszona szyba drzwi przednich lewych.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 w:line="240" w:lineRule="auto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Elektrycznie sterowane i podgrzewane l</w:t>
      </w:r>
      <w:r>
        <w:rPr>
          <w:rFonts w:eastAsia="Times New Roman"/>
          <w:lang w:eastAsia="zh-CN"/>
        </w:rPr>
        <w:t>usterka zewnętrzne.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Dla wszystkich miejsc siedzących trzypunktowe pasy bezpieczeństwa.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Światła przeciwmgłowe przednie z oferty producenta pojazdów, posiadające homologację, wbudowane w zderzak, spojler lub światła zintegrowane z lampami zespolonymi.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>Światł</w:t>
      </w:r>
      <w:r>
        <w:rPr>
          <w:rFonts w:eastAsia="Times New Roman"/>
          <w:lang w:eastAsia="zh-CN"/>
        </w:rPr>
        <w:t>a do jazdy dziennej i reflektory wykonane w technologii LED.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>Luk dachowy pełniący rolę wyjścia awaryjnego.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Centralny zamek sterowany pilotem.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Minimum dwa komplety kluczyków/kart do pojazdu i pilotów do sterowania centralnym zamkiem.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 xml:space="preserve">Radioodtwarzacz CD/MP3 </w:t>
      </w:r>
      <w:r>
        <w:rPr>
          <w:rFonts w:eastAsia="Times New Roman"/>
          <w:lang w:eastAsia="zh-CN"/>
        </w:rPr>
        <w:t>z wyświetlaczem o przekątnej min. 7” z nawigacją wyposażoną w mapę Polski i Europy Środkowej.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Kamera cofania.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Sygnalizacja dźwiękowa włączonego biegu wstecznego.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Fartuchy lub osłony </w:t>
      </w:r>
      <w:proofErr w:type="spellStart"/>
      <w:r>
        <w:rPr>
          <w:rFonts w:eastAsia="Times New Roman"/>
          <w:color w:val="000000"/>
          <w:lang w:eastAsia="zh-CN"/>
        </w:rPr>
        <w:t>przeciwbłotne</w:t>
      </w:r>
      <w:proofErr w:type="spellEnd"/>
      <w:r>
        <w:rPr>
          <w:rFonts w:eastAsia="Times New Roman"/>
          <w:color w:val="000000"/>
          <w:lang w:eastAsia="zh-CN"/>
        </w:rPr>
        <w:t xml:space="preserve"> na wszystkie koła pojazdu.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Dwie ramki pod  tablicę rejestrac</w:t>
      </w:r>
      <w:r>
        <w:rPr>
          <w:rFonts w:eastAsia="Times New Roman"/>
          <w:color w:val="000000"/>
          <w:lang w:eastAsia="zh-CN"/>
        </w:rPr>
        <w:t>yjną zamontowane na pojeździe. Na ramkach nie mogą znajdować się żadne napisy.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 xml:space="preserve">Wymagania techniczne dla </w:t>
      </w:r>
      <w:r>
        <w:rPr>
          <w:rFonts w:eastAsia="Times New Roman"/>
          <w:b/>
          <w:bCs/>
          <w:lang w:eastAsia="zh-CN"/>
        </w:rPr>
        <w:t>kolorystyki pojazdu.</w:t>
      </w:r>
    </w:p>
    <w:p w:rsidR="00D61A89" w:rsidRDefault="00865FB0">
      <w:pPr>
        <w:pStyle w:val="Tekstpodstawowy21"/>
        <w:spacing w:line="100" w:lineRule="atLeast"/>
        <w:ind w:left="85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 xml:space="preserve">Wykonawca przedstawi propozycję dwóch stonowanych kolorów lakierów (np. czarny, biały, grafitowy) z oficjalnej oferty handlowej </w:t>
      </w:r>
      <w:r>
        <w:rPr>
          <w:rFonts w:ascii="Arial" w:hAnsi="Arial" w:cs="Arial"/>
          <w:b w:val="0"/>
          <w:sz w:val="20"/>
        </w:rPr>
        <w:t>producenta/ importera pojazdów. Wykonawca zaznaczy oferowane kolory lakierów w oficjalnym katalogu (sporządzonym w języku polskim) producenta/importera pojazdu. Dokument musi być przedstawiony przez Wykonawcę w fazie składania oferty przetargowej.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Wymagan</w:t>
      </w:r>
      <w:r>
        <w:rPr>
          <w:rFonts w:eastAsia="Times New Roman"/>
          <w:b/>
          <w:bCs/>
          <w:lang w:eastAsia="zh-CN"/>
        </w:rPr>
        <w:t>ia techniczne dla zabudowy pojazdu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Ogólne wymagania techniczne dla zabudowy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Calibri"/>
          <w:b/>
        </w:rPr>
      </w:pPr>
      <w:r>
        <w:rPr>
          <w:rFonts w:eastAsia="Calibri"/>
        </w:rPr>
        <w:t xml:space="preserve">Wnętrze pojazdu musi składać się z dwóch przedziałów: przedziału pasażerskiego (przedział I) </w:t>
      </w:r>
      <w:r>
        <w:rPr>
          <w:rFonts w:eastAsia="Calibri"/>
        </w:rPr>
        <w:br/>
        <w:t>i przedziału bagażowego (przedział II</w:t>
      </w:r>
      <w:r>
        <w:rPr>
          <w:rFonts w:eastAsia="Calibri"/>
          <w:b/>
        </w:rPr>
        <w:t xml:space="preserve"> - </w:t>
      </w:r>
      <w:r>
        <w:rPr>
          <w:rFonts w:eastAsia="Calibri"/>
        </w:rPr>
        <w:t>ładunkowy).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Pojazd musi być przystosowany do p</w:t>
      </w:r>
      <w:r>
        <w:rPr>
          <w:rFonts w:eastAsia="Calibri"/>
        </w:rPr>
        <w:t xml:space="preserve">rzewozu 20 osób łącznie z kierującym pojazdem.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ar-SA"/>
        </w:rPr>
        <w:t xml:space="preserve">Dopuszczalna masa całkowita pojazdu po dokonaniu zabudowy nie może być większa niż 6 300 kg oraz nie może przekraczać dopuszczalnej masy całkowitej pojazdu, na bazie którego została wykonana zabudowa. 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  <w:b/>
        </w:rPr>
        <w:t>Organ</w:t>
      </w:r>
      <w:r>
        <w:rPr>
          <w:rFonts w:eastAsia="Calibri"/>
          <w:b/>
        </w:rPr>
        <w:t>izacja wnętrza przedziału pasażerskiego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Główne wejście przez drzwi przednie po prawej stronie</w:t>
      </w:r>
      <w:r>
        <w:t xml:space="preserve"> z podwójnie obniżonym stopniem w przedniej części pojazdu</w:t>
      </w:r>
      <w:r>
        <w:rPr>
          <w:rFonts w:eastAsia="Calibri"/>
        </w:rPr>
        <w:t>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Przedział pasażerski przeszklony. Przeszklenie wykonane z szyb panoramicznych podwójnych, </w:t>
      </w:r>
      <w:r>
        <w:rPr>
          <w:rFonts w:eastAsia="Calibri"/>
        </w:rPr>
        <w:lastRenderedPageBreak/>
        <w:t>termoizolacyj</w:t>
      </w:r>
      <w:r>
        <w:rPr>
          <w:rFonts w:eastAsia="Calibri"/>
        </w:rPr>
        <w:t>nych, f</w:t>
      </w:r>
      <w:r>
        <w:rPr>
          <w:rFonts w:eastAsia="Times New Roman"/>
          <w:lang w:eastAsia="zh-CN"/>
        </w:rPr>
        <w:t>abrycznie przyciemnionych do maksymalnej wartości oferowanej przez producenta pojazdu.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Rozmieszczenie foteli musi zapewniać użytkownikom bezpieczne oraz swobodne przemieszczanie się wewnątrz pojazdu, a także siadanie i wstawanie z zajmowanych miejsc</w:t>
      </w:r>
      <w:r>
        <w:rPr>
          <w:rFonts w:eastAsia="Calibri"/>
        </w:rPr>
        <w:t>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Po lewej stornie pojazdu fotele pasażerskie podwójne.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Po prawej stronie pojazdu fotele pasażerskie pojedyncze.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Odległość pomiędzy rzędami foteli musi zapewnić komfort podróży dla dorosłych pasażerów.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Fotele pasażerów ze zintegrowanymi zagłówkami, komfortowe, z regulacją pochylenia oparcia, wyposażone w trzypunktowe pasy bezpieczeństwa oraz podłokietnik. Zewnętrzny fotel w podwójnym rzędzie z </w:t>
      </w:r>
      <w:proofErr w:type="spellStart"/>
      <w:r>
        <w:rPr>
          <w:rFonts w:eastAsia="Calibri"/>
        </w:rPr>
        <w:t>rozsuwem</w:t>
      </w:r>
      <w:proofErr w:type="spellEnd"/>
      <w:r>
        <w:rPr>
          <w:rFonts w:eastAsia="Calibri"/>
        </w:rPr>
        <w:t xml:space="preserve"> bocznym. Fotele wyposażone w stoliki oraz siatki na </w:t>
      </w:r>
      <w:r>
        <w:rPr>
          <w:rFonts w:eastAsia="Calibri"/>
        </w:rPr>
        <w:t xml:space="preserve">prasę.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Fotele zamontowane za pomocą systemu szynowego umożliwiającego łatwy demontaż oraz przesuw wzdłuż pojazdu.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Fotele ostatniego rzędu wraz ze ścianą grodziową przesuwane, umożliwiające zwiększenie pojemności przestrzeni przedziału bagażowego.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Fotele, </w:t>
      </w:r>
      <w:r>
        <w:rPr>
          <w:rFonts w:eastAsia="Calibri"/>
        </w:rPr>
        <w:t xml:space="preserve">o których mowa w pkt 1.5.2.7 – 1.5.2.9, ich punkty mocowania oraz zagłówki muszą spełniać wymagania Regulaminu 17 EKG ONZ.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Montaż pasów bezpieczeństwa foteli, o których mowa w pkt 1.5.2.7.– 1.5.2.9. musi być zgodny z wymaganiami Regulaminu 16 EKG ONZ.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Ta</w:t>
      </w:r>
      <w:r>
        <w:rPr>
          <w:rFonts w:eastAsia="Calibri"/>
        </w:rPr>
        <w:t xml:space="preserve">picerka wszystkich foteli łatwa do utrzymania w czystości materiałowa, ekoskóra lub welurowa </w:t>
      </w:r>
      <w:r>
        <w:rPr>
          <w:rFonts w:eastAsia="Calibri"/>
        </w:rPr>
        <w:br/>
        <w:t xml:space="preserve">w ciemnym kolorze z oferty handlowej producenta (wzór i kolor tkaniny zostanie wybrany przez Zamawiającego z gamy oferowanej przez Wykonawcę </w:t>
      </w:r>
      <w:r>
        <w:rPr>
          <w:rFonts w:eastAsia="Calibri"/>
          <w:b/>
        </w:rPr>
        <w:t>na etapie oceny proje</w:t>
      </w:r>
      <w:r>
        <w:rPr>
          <w:rFonts w:eastAsia="Calibri"/>
          <w:b/>
        </w:rPr>
        <w:t>ktu modyfikacji pojazdu</w:t>
      </w:r>
      <w:r>
        <w:rPr>
          <w:rFonts w:eastAsia="Calibri"/>
        </w:rPr>
        <w:t>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Podesty pod fotelami na całej długości pojazdu.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Gniazdka USB w każdym rzędzie siedzeń po obu stronach pojazdu.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Podsufitowe półki na bagaż podręczny, podświetlane w technologii LED, wyposażone w panel sterowania indywidualnym oświ</w:t>
      </w:r>
      <w:r>
        <w:rPr>
          <w:rFonts w:eastAsia="Calibri"/>
        </w:rPr>
        <w:t>etleniem oraz kanał nadmuchu powietrza klimatyzacji nad każdym rzędem siedzeń.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Izolacja dźwiękowo-termiczna wnętrza całego pojazdu.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Ściany i słupki pokryte miękką tapicerką w ciemnym kolorze (wzór i kolor zostanie wybrany przez Zamawiającego z gamy oferowa</w:t>
      </w:r>
      <w:r>
        <w:rPr>
          <w:rFonts w:eastAsia="Calibri"/>
        </w:rPr>
        <w:t xml:space="preserve">nej przez Wykonawcę na </w:t>
      </w:r>
      <w:r>
        <w:rPr>
          <w:rFonts w:eastAsia="Calibri"/>
          <w:b/>
        </w:rPr>
        <w:t>etapie oceny projektu modyfikacji pojazdu</w:t>
      </w:r>
      <w:r>
        <w:rPr>
          <w:rFonts w:eastAsia="Calibri"/>
        </w:rPr>
        <w:t>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Podłoga przedziału pasażerskiego pokryta powłoką zapewniająca odpowiednią przyczepność (antypoślizgowa), odporna na zużycie, wodoodporna oraz łatwa do utrzymania w czystości (wzór </w:t>
      </w:r>
      <w:r>
        <w:rPr>
          <w:rFonts w:eastAsia="Calibri"/>
        </w:rPr>
        <w:br/>
        <w:t xml:space="preserve">i kolor </w:t>
      </w:r>
      <w:r>
        <w:rPr>
          <w:rFonts w:eastAsia="Calibri"/>
        </w:rPr>
        <w:t xml:space="preserve">zostanie wybrany przez Zamawiającego z gamy oferowanej przez Wykonawcę na </w:t>
      </w:r>
      <w:r>
        <w:rPr>
          <w:rFonts w:eastAsia="Calibri"/>
          <w:b/>
        </w:rPr>
        <w:t>etapie oceny projektu modyfikacji pojazdu</w:t>
      </w:r>
      <w:r>
        <w:rPr>
          <w:rFonts w:eastAsia="Calibri"/>
        </w:rPr>
        <w:t>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Układ klimatyzacji sterowany elektronicznie z nawiewem dla poszczególnych pasażerów (wylot powietrza zintegrowany z lampką oświetlenia ind</w:t>
      </w:r>
      <w:r>
        <w:rPr>
          <w:rFonts w:eastAsia="Calibri"/>
        </w:rPr>
        <w:t>ywidualnego w półce podsufitowej) oraz dodatkowa fabryczna klimatyzacja z przodu pojazdu (wylot powietrza z deski rozdzielczej).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Niezależne ogrzewanie postojowe przedziału pasażerskiego z płynną regulacją temperatury i czasu pracy.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Wieszaki ubraniowe na </w:t>
      </w:r>
      <w:r>
        <w:rPr>
          <w:rFonts w:eastAsia="Times New Roman"/>
          <w:color w:val="000000"/>
          <w:lang w:eastAsia="zh-CN"/>
        </w:rPr>
        <w:t>wszystkich słupkach.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Materiałowe zasłonki w oknach bocznych.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  <w:b/>
        </w:rPr>
        <w:t>Wymagania techniczne dla przedziału bagażowego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>Drzwi tylne dwuskrzydłowe otwierane min. 270 stopni.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Ścianka grodziowa pomiędzy przedziałem pasażerskim a bagażowym.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Przestrzeń bagażowa pogłębiona</w:t>
      </w:r>
      <w:r>
        <w:rPr>
          <w:rFonts w:eastAsia="Calibri"/>
        </w:rPr>
        <w:t xml:space="preserve"> względem progu załadunkowego.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W górnej części przedziału półka bagażowa.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Pod półką na całej jej długości zamontowany pałąk umożliwiający przewóz mundurów służbowych na wieszakach.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  <w:b/>
        </w:rPr>
        <w:t>Wymagania techniczne dla instalacji elektrycznej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Wyposażenie elektryczne i</w:t>
      </w:r>
      <w:r>
        <w:rPr>
          <w:rFonts w:eastAsia="Calibri"/>
        </w:rPr>
        <w:t xml:space="preserve"> elektroniczne pojazdu wymienione w poszczególnych punktach niniejszej specyfikacji technicznej musi poprawnie współpracować z wyposażeniem pojazdu bazowego oraz zapewniać wymaganą jakość i odpowiedni poziom bezpieczeństwa.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Pojazd musi być wyposażony w głó</w:t>
      </w:r>
      <w:r>
        <w:rPr>
          <w:rFonts w:eastAsia="Calibri"/>
        </w:rPr>
        <w:t xml:space="preserve">wny wyłącznik odbiorników elektrycznych (oświetlenia, ładowarek </w:t>
      </w:r>
      <w:r>
        <w:rPr>
          <w:rFonts w:eastAsia="Calibri"/>
        </w:rPr>
        <w:lastRenderedPageBreak/>
        <w:t>USB, gniazd 230V) przedziału pasażerskiego, znajdujący się w zasięgu pracy kierowcy.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Oświetlenie LED przejścia zamontowane w podestach pod fotelami na całej długości pojazdu, włączane i wyłącz</w:t>
      </w:r>
      <w:r>
        <w:rPr>
          <w:rFonts w:eastAsia="Calibri"/>
        </w:rPr>
        <w:t>ane przez kierowcę.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Rozproszone</w:t>
      </w:r>
      <w:r>
        <w:rPr>
          <w:rFonts w:eastAsia="Times New Roman"/>
          <w:lang w:eastAsia="zh-CN"/>
        </w:rPr>
        <w:t xml:space="preserve"> </w:t>
      </w:r>
      <w:r>
        <w:rPr>
          <w:rFonts w:eastAsia="Calibri"/>
        </w:rPr>
        <w:t>dwukolorowe oświetlenie wnętrza przedziału pasażerskiego, włączane i wyłączane przez kierowcę.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Oświetlenie stopni wejściowych (progowe) do pojazdu.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Oświetlenie przedziału bagażowego po obu jego stronach oraz pod górną półką </w:t>
      </w:r>
      <w:r>
        <w:rPr>
          <w:rFonts w:eastAsia="Calibri"/>
        </w:rPr>
        <w:t>bagażową, włączane i wyłączane automatycznie po otwarciu lub zamknięciu tylnych drzwi.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Minimum dwa gniazda 230V AC po lewej oraz po prawej stronie pojazdu, zamontowane </w:t>
      </w:r>
      <w:r>
        <w:rPr>
          <w:rFonts w:eastAsia="Calibri"/>
        </w:rPr>
        <w:br/>
        <w:t>na wysokości drugiego oraz przedostatniego rzędu siedzeń, o łączonej mocy min. 2 000 W.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Zestaw Audio-DVD: radioodtwarzacz DVD/CD/MP3/</w:t>
      </w:r>
      <w:proofErr w:type="spellStart"/>
      <w:r>
        <w:rPr>
          <w:rFonts w:eastAsia="Calibri"/>
        </w:rPr>
        <w:t>DivX</w:t>
      </w:r>
      <w:proofErr w:type="spellEnd"/>
      <w:r>
        <w:rPr>
          <w:rFonts w:eastAsia="Calibri"/>
        </w:rPr>
        <w:t>/TV wyposażony w zewnętrzny mikrofon, monitor LED min. 17 cali, podwieszany, składany, zamontowany na podsufitce w przedniej części pojazdu, z możliwością podłączenia laptopa (bezprzewodowo lub za pomocą łą</w:t>
      </w:r>
      <w:r>
        <w:rPr>
          <w:rFonts w:eastAsia="Calibri"/>
        </w:rPr>
        <w:t>czy HDMI). Ponadto musi istnieć możliwość podłączenia zewnętrznego nośnika danych typu pendrive lub dysk zewnętrzy za pomocą portu USB oraz odtwarzania zdjęć i filmów z ich pamięci.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Homologowany hak holowniczy. 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  <w:b/>
        </w:rPr>
        <w:t>Wymagania techniczne dla dodatkowego wyposa</w:t>
      </w:r>
      <w:r>
        <w:rPr>
          <w:rFonts w:eastAsia="Calibri"/>
          <w:b/>
        </w:rPr>
        <w:t>żenia pojazdu.</w:t>
      </w:r>
    </w:p>
    <w:p w:rsidR="00D61A89" w:rsidRDefault="00865FB0">
      <w:pPr>
        <w:pStyle w:val="Akapitzlist"/>
        <w:numPr>
          <w:ilvl w:val="3"/>
          <w:numId w:val="8"/>
        </w:numPr>
        <w:ind w:left="851" w:hanging="851"/>
        <w:jc w:val="both"/>
        <w:rPr>
          <w:rFonts w:eastAsia="Calibri"/>
        </w:rPr>
      </w:pPr>
      <w:r>
        <w:rPr>
          <w:rFonts w:eastAsia="Calibri"/>
        </w:rPr>
        <w:t>Apteczka pierwszej pomocy.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Dwie gaśnice proszkowe typu samochodowego, posiadające odpowiedni certyfikat CNBOP </w:t>
      </w:r>
      <w:r>
        <w:t xml:space="preserve">(4 </w:t>
      </w:r>
      <w:proofErr w:type="spellStart"/>
      <w:r>
        <w:t>GPx</w:t>
      </w:r>
      <w:proofErr w:type="spellEnd"/>
      <w:r>
        <w:t xml:space="preserve"> ABC i 2  </w:t>
      </w:r>
      <w:proofErr w:type="spellStart"/>
      <w:r>
        <w:t>GPx</w:t>
      </w:r>
      <w:proofErr w:type="spellEnd"/>
      <w:r>
        <w:t xml:space="preserve"> ABC)</w:t>
      </w:r>
      <w:r>
        <w:rPr>
          <w:rFonts w:eastAsia="Calibri"/>
        </w:rPr>
        <w:t>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Trójkąt ostrzegawczy posiadający homologację zgodną z Regulaminem 27 EKG ONZ.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Minimum 6 szt. młotków z n</w:t>
      </w:r>
      <w:r>
        <w:rPr>
          <w:rFonts w:eastAsia="Calibri"/>
        </w:rPr>
        <w:t>ożami do cięcia pasów bezpieczeństwa zamontowanych w zasięgu ręki pasażerów.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lang w:eastAsia="zh-CN"/>
        </w:rPr>
        <w:t xml:space="preserve">Lodówka o pojemności min. 20 litrów, zamontowana na stałe w okolicy wejścia głównego.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Blokada pod koła (klin).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>Dwie kamizelki odblaskowe.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Calibri"/>
        </w:rPr>
        <w:t xml:space="preserve">Zestaw podręcznych narzędzi, w którego </w:t>
      </w:r>
      <w:r>
        <w:rPr>
          <w:rFonts w:eastAsia="Calibri"/>
        </w:rPr>
        <w:t>skład wchodzi, co najmniej:</w:t>
      </w:r>
    </w:p>
    <w:p w:rsidR="00D61A89" w:rsidRDefault="00865FB0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>podnośnik</w:t>
      </w:r>
      <w:r>
        <w:rPr>
          <w:rFonts w:eastAsia="Calibri"/>
        </w:rPr>
        <w:t xml:space="preserve"> samochodowy dostosowany do masy pojazdu po zabudowie,</w:t>
      </w:r>
    </w:p>
    <w:p w:rsidR="00D61A89" w:rsidRDefault="00865FB0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eastAsia="Times New Roman"/>
          <w:bCs/>
          <w:lang w:eastAsia="zh-CN"/>
        </w:rPr>
      </w:pPr>
      <w:r>
        <w:rPr>
          <w:rFonts w:eastAsia="Calibri"/>
        </w:rPr>
        <w:t>klucz do kół,</w:t>
      </w:r>
    </w:p>
    <w:p w:rsidR="00D61A89" w:rsidRDefault="00865FB0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eastAsia="Times New Roman"/>
          <w:bCs/>
          <w:lang w:eastAsia="zh-CN"/>
        </w:rPr>
      </w:pPr>
      <w:r>
        <w:rPr>
          <w:rFonts w:eastAsia="Calibri"/>
        </w:rPr>
        <w:t xml:space="preserve">wkrętak/klucz dostosowany do wkrętów zastosowanych w pojeździe, </w:t>
      </w:r>
    </w:p>
    <w:p w:rsidR="00D61A89" w:rsidRDefault="00865FB0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eastAsia="Times New Roman"/>
          <w:bCs/>
          <w:lang w:eastAsia="zh-CN"/>
        </w:rPr>
      </w:pPr>
      <w:r>
        <w:rPr>
          <w:rFonts w:eastAsia="Calibri"/>
        </w:rPr>
        <w:t xml:space="preserve">klucz umożliwiający odłączenie zacisków akumulatora. 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Wymagania techniczne dotyczące</w:t>
      </w:r>
      <w:r>
        <w:rPr>
          <w:rFonts w:eastAsia="Times New Roman"/>
          <w:b/>
          <w:bCs/>
          <w:lang w:eastAsia="zh-CN"/>
        </w:rPr>
        <w:t xml:space="preserve"> montażu elementów specjalistycznej zabudowy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Wszystkie stosowane przewody instalacji elektrycznej muszą spełniać wymogi określone </w:t>
      </w:r>
      <w:r>
        <w:rPr>
          <w:rFonts w:eastAsia="Times New Roman"/>
          <w:color w:val="000000"/>
          <w:lang w:eastAsia="zh-CN"/>
        </w:rPr>
        <w:br/>
        <w:t xml:space="preserve">w obowiązujących normach i przepisach dotyczących instalacji elektrycznej w motoryzacji.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Wszystkie przewody należy ułożyć w </w:t>
      </w:r>
      <w:r>
        <w:rPr>
          <w:rFonts w:eastAsia="Times New Roman"/>
          <w:color w:val="000000"/>
          <w:lang w:eastAsia="zh-CN"/>
        </w:rPr>
        <w:t xml:space="preserve">sposób zapobiegający wibracji oraz możliwości samoczynnego przemieszczania się. Podczas układania przewodów na poziomie podłogi lub pod progiem, przewody należy dodatkowo zabezpieczyć przed uszkodzeniami mechanicznymi. 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Wszystkie otwory i przewierty należy</w:t>
      </w:r>
      <w:r>
        <w:rPr>
          <w:rFonts w:eastAsia="Times New Roman"/>
          <w:color w:val="000000"/>
          <w:lang w:eastAsia="zh-CN"/>
        </w:rPr>
        <w:t xml:space="preserve"> wygładzić i zabezpieczyć tulejkami ochronnymi krawędziowymi lub gumowymi prowadnicami.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Każde miejsce ingerencji w metalowe elementy nadwozia pojazdu musi zostać dodatkowo zabezpieczone antykorozyjnie.</w:t>
      </w:r>
    </w:p>
    <w:p w:rsidR="00D61A89" w:rsidRDefault="00865FB0">
      <w:pPr>
        <w:pStyle w:val="Akapitzlist"/>
        <w:widowControl w:val="0"/>
        <w:numPr>
          <w:ilvl w:val="3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Wszystkie zastosowane elementy zabudowy pojazdu wykona</w:t>
      </w:r>
      <w:r>
        <w:rPr>
          <w:rFonts w:eastAsia="Times New Roman"/>
          <w:color w:val="000000"/>
          <w:lang w:eastAsia="zh-CN"/>
        </w:rPr>
        <w:t>ne z metalu oraz wszystkie elementy łączące muszą być wykonane w technologii antykorozyjnej.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color w:val="000000"/>
          <w:lang w:eastAsia="zh-CN"/>
        </w:rPr>
        <w:t>Wymagania konstrukcyjne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Konstrukcja pojazdu oraz wyposażenia musi być oparta na dostępnych na rynku krajowym zespołach, podzespołach i elementach oraz materiałach</w:t>
      </w:r>
      <w:r>
        <w:rPr>
          <w:rFonts w:eastAsia="Times New Roman"/>
          <w:color w:val="000000"/>
          <w:lang w:eastAsia="zh-CN"/>
        </w:rPr>
        <w:t>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Wszystkie zastosowane w konstrukcji pojazdu oraz wyposażeniu powłoki ochronne (np. cynkowanie, powłoki lakiernicze i z tworzyw sztucznych) muszą zapewniać skuteczną ochronę antykorozyjną.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Wszystkie urządzenia pojazdu muszą mieć zwartą budowę i uwzględniać zdobycze techniki </w:t>
      </w:r>
      <w:r>
        <w:rPr>
          <w:rFonts w:eastAsia="Times New Roman"/>
          <w:color w:val="000000"/>
          <w:lang w:eastAsia="zh-CN"/>
        </w:rPr>
        <w:br/>
        <w:t>w zakresie miniaturyzacji.</w:t>
      </w: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hanging="792"/>
        <w:jc w:val="both"/>
        <w:rPr>
          <w:rFonts w:eastAsia="Times New Roman"/>
          <w:b/>
          <w:bCs/>
          <w:lang w:eastAsia="zh-CN"/>
        </w:rPr>
      </w:pPr>
      <w:r>
        <w:rPr>
          <w:rFonts w:ascii="Arial-BoldMT" w:hAnsi="Arial-BoldMT" w:cs="Arial-BoldMT"/>
          <w:b/>
          <w:bCs/>
        </w:rPr>
        <w:t>Wymagania odnośnie oznaczania i znakowania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ascii="ArialMT" w:hAnsi="ArialMT" w:cs="ArialMT"/>
        </w:rPr>
        <w:t xml:space="preserve">Pojazd musi posiadać trwale umieszczone w miejscu łatwo dostępnym wewnątrz pojazdu: </w:t>
      </w:r>
    </w:p>
    <w:p w:rsidR="00D61A89" w:rsidRDefault="00865FB0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eastAsia="Times New Roman"/>
          <w:b/>
          <w:bCs/>
          <w:lang w:eastAsia="zh-CN"/>
        </w:rPr>
      </w:pPr>
      <w:r>
        <w:rPr>
          <w:rFonts w:ascii="ArialMT" w:hAnsi="ArialMT" w:cs="ArialMT"/>
        </w:rPr>
        <w:t>tabliczkę zawi</w:t>
      </w:r>
      <w:r>
        <w:rPr>
          <w:rFonts w:ascii="ArialMT" w:hAnsi="ArialMT" w:cs="ArialMT"/>
        </w:rPr>
        <w:t xml:space="preserve">erającą naniesione w sposób trwały, co najmniej dane o producencie, typie, </w:t>
      </w:r>
      <w:r>
        <w:rPr>
          <w:rFonts w:ascii="ArialMT" w:hAnsi="ArialMT" w:cs="ArialMT"/>
        </w:rPr>
        <w:lastRenderedPageBreak/>
        <w:t xml:space="preserve">roku produkcji oraz numerze identyfikacyjnym pojazdu (VIN)lub numerze nadwozia, podwozia lub ramy, </w:t>
      </w:r>
    </w:p>
    <w:p w:rsidR="00D61A89" w:rsidRDefault="00865FB0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eastAsia="Times New Roman"/>
          <w:b/>
          <w:bCs/>
          <w:lang w:eastAsia="zh-CN"/>
        </w:rPr>
      </w:pPr>
      <w:r>
        <w:rPr>
          <w:rFonts w:ascii="ArialMT" w:hAnsi="ArialMT" w:cs="ArialMT"/>
        </w:rPr>
        <w:t>informację wskazującą dopuszczalną liczbę przewożonych osób łącznie z kierowcą.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ascii="ArialMT" w:hAnsi="ArialMT" w:cs="ArialMT"/>
        </w:rPr>
        <w:t>W</w:t>
      </w:r>
      <w:r>
        <w:rPr>
          <w:rFonts w:ascii="ArialMT" w:hAnsi="ArialMT" w:cs="ArialMT"/>
        </w:rPr>
        <w:t xml:space="preserve">szystkie urządzenia zamontowane jako elementy zabudowy pojazdu muszą posiadać tabliczki znamionowe zawierające co najmniej następujące dane: </w:t>
      </w:r>
    </w:p>
    <w:p w:rsidR="00D61A89" w:rsidRDefault="00865FB0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eastAsia="Times New Roman"/>
          <w:b/>
          <w:bCs/>
          <w:lang w:eastAsia="zh-CN"/>
        </w:rPr>
      </w:pPr>
      <w:r>
        <w:rPr>
          <w:rFonts w:ascii="ArialMT" w:hAnsi="ArialMT" w:cs="ArialMT"/>
        </w:rPr>
        <w:t>symbol lub numer producenta,</w:t>
      </w:r>
    </w:p>
    <w:p w:rsidR="00D61A89" w:rsidRDefault="00865FB0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eastAsia="Times New Roman"/>
          <w:b/>
          <w:bCs/>
          <w:lang w:eastAsia="zh-CN"/>
        </w:rPr>
      </w:pPr>
      <w:r>
        <w:rPr>
          <w:rFonts w:ascii="ArialMT" w:hAnsi="ArialMT" w:cs="ArialMT"/>
        </w:rPr>
        <w:t>numer kolejny wyrobu,</w:t>
      </w:r>
    </w:p>
    <w:p w:rsidR="00D61A89" w:rsidRDefault="00865FB0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eastAsia="Times New Roman"/>
          <w:b/>
          <w:bCs/>
          <w:lang w:eastAsia="zh-CN"/>
        </w:rPr>
      </w:pPr>
      <w:r>
        <w:rPr>
          <w:rFonts w:ascii="ArialMT" w:hAnsi="ArialMT" w:cs="ArialMT"/>
        </w:rPr>
        <w:t>rok produkcji.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ascii="ArialMT" w:hAnsi="ArialMT" w:cs="ArialMT"/>
        </w:rPr>
        <w:t xml:space="preserve">Wszystkie elementy zabudowy pojazdu, takie jak: </w:t>
      </w:r>
      <w:r>
        <w:rPr>
          <w:rFonts w:ascii="ArialMT" w:hAnsi="ArialMT" w:cs="ArialMT"/>
        </w:rPr>
        <w:t>przełączniki, gniazda itp., sterujące wyposażeniem pojazdu, muszą być oznaczone tabliczkami z opisem (słownym lub graficznym) ich funkcji i przeznaczenia. Tabliczki muszą być czytelne oraz wykonane i zamocowane w sposób trwały.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>Wymagania dotyczące przecho</w:t>
      </w:r>
      <w:r>
        <w:rPr>
          <w:rFonts w:eastAsia="Times New Roman"/>
          <w:b/>
          <w:bCs/>
          <w:color w:val="000000"/>
          <w:lang w:eastAsia="zh-CN"/>
        </w:rPr>
        <w:t>wywania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Pojazd po przekazaniu Zamawiającemu musi być gotowy do użycia.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Pojazd musi być przystosowany do przechowywania na wolnym powietrzu w niezadaszonych parkach sprzętu transportowego w warunkach atmosferycznych spotykanych w polskiej strefie klimatyczn</w:t>
      </w:r>
      <w:r>
        <w:rPr>
          <w:rFonts w:eastAsia="Times New Roman"/>
          <w:color w:val="000000"/>
          <w:lang w:eastAsia="zh-CN"/>
        </w:rPr>
        <w:t>ej.</w:t>
      </w:r>
    </w:p>
    <w:p w:rsidR="00D61A89" w:rsidRDefault="00D61A89">
      <w:pPr>
        <w:widowControl w:val="0"/>
        <w:spacing w:after="0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sz w:val="22"/>
          <w:szCs w:val="22"/>
          <w:lang w:eastAsia="zh-CN"/>
        </w:rPr>
      </w:pPr>
      <w:r>
        <w:rPr>
          <w:rFonts w:eastAsia="Times New Roman"/>
          <w:b/>
          <w:bCs/>
          <w:color w:val="000000"/>
          <w:sz w:val="22"/>
          <w:szCs w:val="22"/>
          <w:lang w:eastAsia="zh-CN"/>
        </w:rPr>
        <w:t>WYMAGANIA JAKOŚCIOWE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Pojazd musi być wykonany zgodnie z zasadami wiedzy technicznej, powszechnie obowiązującymi </w:t>
      </w:r>
      <w:r>
        <w:rPr>
          <w:rFonts w:eastAsia="Times New Roman"/>
          <w:color w:val="000000"/>
          <w:lang w:eastAsia="zh-CN"/>
        </w:rPr>
        <w:br/>
        <w:t>w tym zakresie normami i standardami z uwzględnieniem obowiązujących przepisów.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Zamawiający nie przewiduje przeprowadzania badań </w:t>
      </w:r>
      <w:r>
        <w:rPr>
          <w:rFonts w:eastAsia="Times New Roman"/>
          <w:color w:val="000000"/>
          <w:lang w:eastAsia="zh-CN"/>
        </w:rPr>
        <w:t>odbiorczych.</w:t>
      </w:r>
    </w:p>
    <w:p w:rsidR="00D61A89" w:rsidRDefault="00D61A89">
      <w:pPr>
        <w:pStyle w:val="Akapitzlist"/>
        <w:widowControl w:val="0"/>
        <w:spacing w:after="0"/>
        <w:ind w:left="851"/>
        <w:jc w:val="both"/>
        <w:rPr>
          <w:rFonts w:eastAsia="Times New Roman"/>
          <w:b/>
          <w:bCs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1"/>
          <w:numId w:val="8"/>
        </w:numPr>
        <w:spacing w:after="0"/>
        <w:ind w:left="709" w:hanging="709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>WYMAGANIA DOTYCZĄCE BEZPIECZEŃSTWA UŻYTKOWANIA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Instrukcja obsługi pojazdu musi zawierać zapisy dotyczące bezpiecznego użytkowania i obsługi pojazdu.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Rozwiązania konstrukcyjne muszą spełniać wymagania BHP.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Niezbędne ostrzeżenia w zakresie BHP </w:t>
      </w:r>
      <w:r>
        <w:rPr>
          <w:rFonts w:eastAsia="Times New Roman"/>
          <w:color w:val="000000"/>
          <w:lang w:eastAsia="zh-CN"/>
        </w:rPr>
        <w:t>muszą być umieszczone w sposób trwały w widocznych miejscach.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Wnętrze pojazdu nie może posiadać ostrych krawędzi, które mogłyby powodować zranienia </w:t>
      </w:r>
      <w:r>
        <w:rPr>
          <w:rFonts w:eastAsia="Times New Roman"/>
          <w:color w:val="000000"/>
          <w:lang w:eastAsia="zh-CN"/>
        </w:rPr>
        <w:br/>
        <w:t>i kontuzje osób podczas użytkowania pojazdu.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Konstrukcja pojazdu musi zapewniać bezpieczeństwo pożarowe.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Po</w:t>
      </w:r>
      <w:r>
        <w:rPr>
          <w:rFonts w:eastAsia="Times New Roman"/>
          <w:color w:val="000000"/>
          <w:lang w:eastAsia="zh-CN"/>
        </w:rPr>
        <w:t>jazd musi być wyposażony w dwie gaśnice typu samochodowego opisane w pkt 1.5.5.2.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>Pojazd musi być wyposażony w apteczkę samochodową opisaną w pkt 1.5.5.1.</w:t>
      </w:r>
    </w:p>
    <w:p w:rsidR="00D61A89" w:rsidRDefault="00865FB0">
      <w:pPr>
        <w:pStyle w:val="Akapitzlist"/>
        <w:widowControl w:val="0"/>
        <w:numPr>
          <w:ilvl w:val="2"/>
          <w:numId w:val="8"/>
        </w:numPr>
        <w:spacing w:after="0"/>
        <w:ind w:left="851" w:hanging="851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color w:val="000000"/>
          <w:lang w:eastAsia="zh-CN"/>
        </w:rPr>
        <w:t xml:space="preserve">Zabudowa pojazdu nie może utrudniać dostępu do elementów i wyposażenia  pojazdu związanych </w:t>
      </w:r>
      <w:r>
        <w:rPr>
          <w:rFonts w:eastAsia="Times New Roman"/>
          <w:color w:val="000000"/>
          <w:lang w:eastAsia="zh-CN"/>
        </w:rPr>
        <w:br/>
        <w:t>z bezpiec</w:t>
      </w:r>
      <w:r>
        <w:rPr>
          <w:rFonts w:eastAsia="Times New Roman"/>
          <w:color w:val="000000"/>
          <w:lang w:eastAsia="zh-CN"/>
        </w:rPr>
        <w:t>zeństwem użytkowania.</w:t>
      </w:r>
    </w:p>
    <w:p w:rsidR="00D61A89" w:rsidRDefault="00D61A89">
      <w:pPr>
        <w:widowControl w:val="0"/>
        <w:spacing w:after="0"/>
        <w:jc w:val="both"/>
        <w:rPr>
          <w:rFonts w:eastAsia="Times New Roman"/>
          <w:color w:val="000000"/>
          <w:sz w:val="12"/>
          <w:szCs w:val="12"/>
          <w:lang w:eastAsia="zh-CN"/>
        </w:rPr>
      </w:pPr>
    </w:p>
    <w:p w:rsidR="00D61A89" w:rsidRDefault="00865FB0">
      <w:pPr>
        <w:widowControl w:val="0"/>
        <w:spacing w:after="0"/>
        <w:ind w:left="709" w:hanging="699"/>
        <w:jc w:val="both"/>
        <w:rPr>
          <w:rFonts w:eastAsia="Calibri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  <w:lang w:eastAsia="zh-CN"/>
        </w:rPr>
        <w:t>IV.</w:t>
      </w:r>
      <w:r>
        <w:rPr>
          <w:rFonts w:eastAsia="Times New Roman"/>
          <w:b/>
          <w:bCs/>
          <w:color w:val="000000"/>
          <w:sz w:val="22"/>
          <w:szCs w:val="22"/>
          <w:lang w:eastAsia="zh-CN"/>
        </w:rPr>
        <w:tab/>
        <w:t>GWARANCJA WYKONAWCY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</w:rPr>
      </w:pPr>
      <w:r>
        <w:rPr>
          <w:rFonts w:eastAsia="Calibri"/>
        </w:rPr>
        <w:t>Pojazd musi być wolny od wad oraz spełniać warunki, o których mowa w ustawie Prawo o ruchu drogowym i przepisach wydanych na jej podstawie.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</w:rPr>
      </w:pPr>
      <w:r>
        <w:rPr>
          <w:rFonts w:eastAsia="Calibri"/>
        </w:rPr>
        <w:t>Pojazd musi być objęty gwarancją bez limitu przebiegu kilometrów na o</w:t>
      </w:r>
      <w:r>
        <w:rPr>
          <w:rFonts w:eastAsia="Calibri"/>
        </w:rPr>
        <w:t>kres:</w:t>
      </w:r>
    </w:p>
    <w:p w:rsidR="00D61A89" w:rsidRDefault="00865FB0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1134" w:right="70" w:hanging="425"/>
        <w:jc w:val="both"/>
        <w:rPr>
          <w:rFonts w:eastAsia="Calibri"/>
        </w:rPr>
      </w:pPr>
      <w:r>
        <w:rPr>
          <w:rFonts w:eastAsia="Calibri"/>
        </w:rPr>
        <w:t>min. 24 miesięcy - gwarancja na podzespoły mechaniczne, elektryczne i elektroniczne pojazdu, na którym wykonano zabudowę,</w:t>
      </w:r>
    </w:p>
    <w:p w:rsidR="00D61A89" w:rsidRDefault="00865FB0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1134" w:right="70" w:hanging="425"/>
        <w:rPr>
          <w:rFonts w:eastAsia="Calibri"/>
        </w:rPr>
      </w:pPr>
      <w:r>
        <w:rPr>
          <w:rFonts w:eastAsia="Calibri"/>
        </w:rPr>
        <w:t>min. 24 miesięcy - gwarancja na powłokę lakierniczą,</w:t>
      </w:r>
    </w:p>
    <w:p w:rsidR="00D61A89" w:rsidRDefault="00865FB0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1134" w:right="70" w:hanging="425"/>
        <w:rPr>
          <w:rFonts w:eastAsia="Calibri"/>
        </w:rPr>
      </w:pPr>
      <w:r>
        <w:rPr>
          <w:rFonts w:eastAsia="Calibri"/>
        </w:rPr>
        <w:t>min. 24 miesięcy - gwarancja na całość zabudowy.</w:t>
      </w:r>
    </w:p>
    <w:p w:rsidR="00D61A89" w:rsidRDefault="00865FB0">
      <w:pPr>
        <w:spacing w:after="0"/>
        <w:ind w:left="1276" w:right="70" w:hanging="567"/>
        <w:rPr>
          <w:rFonts w:eastAsia="Calibri"/>
        </w:rPr>
      </w:pPr>
      <w:r>
        <w:rPr>
          <w:rFonts w:eastAsia="Calibri"/>
          <w:b/>
        </w:rPr>
        <w:t xml:space="preserve">licząc od daty odbioru </w:t>
      </w:r>
      <w:r>
        <w:rPr>
          <w:rFonts w:eastAsia="Calibri"/>
          <w:b/>
        </w:rPr>
        <w:t>pojazdu przez Zamawiającego.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</w:rPr>
      </w:pPr>
      <w:r>
        <w:rPr>
          <w:rFonts w:eastAsia="Calibri"/>
        </w:rPr>
        <w:t xml:space="preserve">Gwarancji muszą podlegać wszystkie zespoły i podzespoły bez </w:t>
      </w:r>
      <w:proofErr w:type="spellStart"/>
      <w:r>
        <w:rPr>
          <w:rFonts w:eastAsia="Calibri"/>
        </w:rPr>
        <w:t>wyłączeń</w:t>
      </w:r>
      <w:proofErr w:type="spellEnd"/>
      <w:r>
        <w:rPr>
          <w:rFonts w:eastAsia="Calibri"/>
        </w:rPr>
        <w:t>, z wyjątkiem materiałów eksploatacyjnych. Za materiały eksploatacyjne uważa się elementy wymieniane podczas okresowych przeglądów technicznych, w szczególnośc</w:t>
      </w:r>
      <w:r>
        <w:rPr>
          <w:rFonts w:eastAsia="Calibri"/>
        </w:rPr>
        <w:t>i: oleje, inne płyny eksploatacyjne.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</w:rPr>
      </w:pPr>
      <w:r>
        <w:rPr>
          <w:rFonts w:eastAsia="Calibri"/>
        </w:rPr>
        <w:t xml:space="preserve">Warunki gwarancji muszą być odnotowane w książce gwarancyjnej pojazdu. 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</w:rPr>
      </w:pPr>
      <w:r>
        <w:rPr>
          <w:rFonts w:eastAsia="Calibri"/>
        </w:rPr>
        <w:t>Zgłoszenie o wystąpieniu wady będą dokonywać upoważnieni przez Zamawiającego przedstawiciele jednostek organizacyjnych Policji i przekażą je Wykona</w:t>
      </w:r>
      <w:r>
        <w:rPr>
          <w:rFonts w:eastAsia="Calibri"/>
        </w:rPr>
        <w:t xml:space="preserve">wcy telefonicznie na nr …………………….., co zostanie potwierdzone przesłaną e-mailem reklamacją zawierającą informacje o wystąpieniu wady. Usunięcie wady (zakończenie naprawy) musi następować niezwłocznie, nie później jednak niż w ciągu 14 kolejnych dni licząc </w:t>
      </w:r>
      <w:r>
        <w:rPr>
          <w:rFonts w:eastAsia="Calibri"/>
        </w:rPr>
        <w:t>od dnia jej zgłoszenia.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</w:rPr>
      </w:pPr>
      <w:r>
        <w:rPr>
          <w:rFonts w:eastAsia="Calibri"/>
        </w:rPr>
        <w:t>Usuwanie we własnym zakresie drobnych usterek oraz uzupełnianie materiałów eksploatacyjnych nie mogą powodować utraty ani ograniczenia uprawnień wynikających z fabrycznej gwarancji.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</w:rPr>
      </w:pPr>
      <w:r>
        <w:rPr>
          <w:rFonts w:eastAsia="Calibri"/>
        </w:rPr>
        <w:lastRenderedPageBreak/>
        <w:t>Zmiany adaptacyjne pojazdu, dotyczące montażu wypo</w:t>
      </w:r>
      <w:r>
        <w:rPr>
          <w:rFonts w:eastAsia="Calibri"/>
        </w:rPr>
        <w:t>sażenia służbowego dokonane przez Zamawiającego w uzgodnieniu z Wykonawcą, nie mogą powodować utraty ani ograniczenia uprawnień wynikających z fabrycznej gwarancji.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</w:rPr>
      </w:pPr>
      <w:r>
        <w:rPr>
          <w:rFonts w:eastAsia="Calibri"/>
        </w:rPr>
        <w:t>Wykonawca zobowiązuje się do bezpłatnego udzielania konsultacji w zakresie możliwości zabud</w:t>
      </w:r>
      <w:r>
        <w:rPr>
          <w:rFonts w:eastAsia="Calibri"/>
        </w:rPr>
        <w:t>owania oraz zaleceń dotyczących montażu w pojeździe:</w:t>
      </w:r>
    </w:p>
    <w:p w:rsidR="00D61A89" w:rsidRDefault="00865FB0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1134" w:hanging="425"/>
        <w:rPr>
          <w:rFonts w:eastAsia="Calibri"/>
        </w:rPr>
      </w:pPr>
      <w:r>
        <w:rPr>
          <w:rFonts w:eastAsia="Calibri"/>
        </w:rPr>
        <w:t>instalacji antenowych i zasilania;</w:t>
      </w:r>
    </w:p>
    <w:p w:rsidR="00D61A89" w:rsidRDefault="00865FB0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1134" w:hanging="425"/>
        <w:rPr>
          <w:rFonts w:eastAsia="Calibri"/>
        </w:rPr>
      </w:pPr>
      <w:r>
        <w:rPr>
          <w:rFonts w:eastAsia="Calibri"/>
        </w:rPr>
        <w:t>urządzeń łączności radiowej;</w:t>
      </w:r>
    </w:p>
    <w:p w:rsidR="00D61A89" w:rsidRDefault="00865FB0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1134" w:hanging="425"/>
        <w:rPr>
          <w:rFonts w:eastAsia="Calibri"/>
        </w:rPr>
      </w:pPr>
      <w:r>
        <w:rPr>
          <w:rFonts w:eastAsia="Calibri"/>
        </w:rPr>
        <w:t>urządzeń do pomiaru zużycia paliwa;</w:t>
      </w:r>
    </w:p>
    <w:p w:rsidR="00D61A89" w:rsidRDefault="00865FB0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1134" w:hanging="425"/>
        <w:rPr>
          <w:rFonts w:eastAsia="Calibri"/>
        </w:rPr>
      </w:pPr>
      <w:r>
        <w:rPr>
          <w:rFonts w:eastAsia="Calibri"/>
        </w:rPr>
        <w:t>innego sprzętu służbowego.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  <w:b/>
          <w:bCs/>
        </w:rPr>
      </w:pPr>
      <w:r>
        <w:rPr>
          <w:rFonts w:eastAsia="Calibri"/>
        </w:rPr>
        <w:t>Naprawy w ramach gwarancji określonej w ust. 2 pkt 1, 2 i 3 realizowane będą</w:t>
      </w:r>
      <w:r>
        <w:rPr>
          <w:rFonts w:eastAsia="Calibri"/>
        </w:rPr>
        <w:t xml:space="preserve"> w autoryzowanych stacjach obsługi. Zamawiający wymaga wskazania przez Wykonawcę autoryzowanej stacji obsługi pojazdów na terenie miasta Łodzi. W przypadku napraw w ramach gwarancji określonej w ust. 2 pkt 1 Wykonawca zobowiązany jest do zorganizowania na </w:t>
      </w:r>
      <w:r>
        <w:rPr>
          <w:rFonts w:eastAsia="Calibri"/>
        </w:rPr>
        <w:t>własny koszt transportu pojazdu do autoryzowanej stacji obsługi oraz po wykonanej naprawie transport do miejsca użytkowania pojazdu.</w:t>
      </w:r>
      <w:r>
        <w:rPr>
          <w:rFonts w:eastAsia="Times New Roman"/>
          <w:b/>
          <w:bCs/>
          <w:i/>
          <w:iCs/>
          <w:color w:val="000000"/>
          <w:lang w:eastAsia="zh-CN"/>
        </w:rPr>
        <w:t xml:space="preserve"> </w:t>
      </w:r>
    </w:p>
    <w:p w:rsidR="00D61A89" w:rsidRDefault="00865FB0">
      <w:pPr>
        <w:widowControl w:val="0"/>
        <w:numPr>
          <w:ilvl w:val="3"/>
          <w:numId w:val="3"/>
        </w:numPr>
        <w:spacing w:after="0"/>
        <w:ind w:left="709" w:hanging="709"/>
        <w:jc w:val="both"/>
        <w:rPr>
          <w:rFonts w:eastAsia="Calibri"/>
          <w:b/>
          <w:bCs/>
        </w:rPr>
      </w:pPr>
      <w:r>
        <w:rPr>
          <w:rFonts w:eastAsia="Calibri"/>
        </w:rPr>
        <w:t>Przeglądy okresowe i naprawy w ramach gwarancji określonej w ust. 2 pkt 2, 3 i 4 realizowane będą bezpłatnie w miejscu uży</w:t>
      </w:r>
      <w:r>
        <w:rPr>
          <w:rFonts w:eastAsia="Calibri"/>
        </w:rPr>
        <w:t xml:space="preserve">tkowania pojazdu na terenie województwa łódzkiego. W przypadku, gdy wykonanie przeglądu okresowego lub naprawy jest niemożliwe do wykonania w miejscu użytkowania pojazdu Zamawiający dopuszcza możliwość wykonywania przeglądów lub napraw w miejscu wskazanym </w:t>
      </w:r>
      <w:r>
        <w:rPr>
          <w:rFonts w:eastAsia="Calibri"/>
        </w:rPr>
        <w:t xml:space="preserve">przez Wykonawcę. Wykonawca zobowiązany jest do zorganizowania na własny koszt transportu pojazdu do miejsca wykonania przeglądu lub naprawy oraz po wykonanym przeglądzie lub po naprawie do miejsca użytkowania pojazdu.  </w:t>
      </w:r>
    </w:p>
    <w:p w:rsidR="00D61A89" w:rsidRDefault="00D61A89">
      <w:pPr>
        <w:widowControl w:val="0"/>
        <w:spacing w:after="0"/>
        <w:ind w:left="709" w:hanging="630"/>
        <w:jc w:val="both"/>
        <w:rPr>
          <w:rFonts w:eastAsia="Calibri"/>
          <w:b/>
          <w:bCs/>
          <w:sz w:val="12"/>
          <w:szCs w:val="12"/>
        </w:rPr>
      </w:pPr>
    </w:p>
    <w:p w:rsidR="00D61A89" w:rsidRDefault="00865FB0">
      <w:pPr>
        <w:widowControl w:val="0"/>
        <w:spacing w:after="0"/>
        <w:ind w:left="709" w:hanging="630"/>
        <w:jc w:val="both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t>V.</w:t>
      </w:r>
      <w:r>
        <w:rPr>
          <w:rFonts w:eastAsia="Times New Roman"/>
          <w:b/>
          <w:bCs/>
          <w:lang w:eastAsia="zh-CN"/>
        </w:rPr>
        <w:tab/>
      </w:r>
      <w:r>
        <w:rPr>
          <w:rFonts w:eastAsia="Times New Roman"/>
          <w:b/>
          <w:color w:val="000000"/>
          <w:lang w:eastAsia="zh-CN"/>
        </w:rPr>
        <w:t xml:space="preserve">WYMAGANE DOKUMENTY </w:t>
      </w:r>
      <w:r>
        <w:rPr>
          <w:rFonts w:eastAsia="Times New Roman"/>
          <w:b/>
          <w:color w:val="000000"/>
          <w:lang w:eastAsia="zh-CN"/>
        </w:rPr>
        <w:t>POTWIERDZAJĄCE SPEŁNIENIE WYMAGAŃ SPECYFIKACJI TECHNICZNEJ</w:t>
      </w:r>
    </w:p>
    <w:p w:rsidR="00D61A89" w:rsidRDefault="00865FB0">
      <w:pPr>
        <w:widowControl w:val="0"/>
        <w:spacing w:after="0"/>
        <w:ind w:left="709" w:hanging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b/>
          <w:bCs/>
          <w:lang w:eastAsia="zh-CN"/>
        </w:rPr>
        <w:t>1.1</w:t>
      </w:r>
      <w:r>
        <w:rPr>
          <w:rFonts w:eastAsia="Times New Roman"/>
          <w:b/>
          <w:bCs/>
          <w:lang w:eastAsia="zh-CN"/>
        </w:rPr>
        <w:tab/>
      </w:r>
      <w:r>
        <w:rPr>
          <w:rFonts w:eastAsia="Times New Roman"/>
          <w:b/>
          <w:bCs/>
          <w:color w:val="000000"/>
          <w:lang w:eastAsia="zh-CN"/>
        </w:rPr>
        <w:t>Dokumenty wymagane od Wykonawców w fazie składania ofert przetargowych.</w:t>
      </w:r>
    </w:p>
    <w:p w:rsidR="00D61A89" w:rsidRDefault="00865FB0">
      <w:pPr>
        <w:widowControl w:val="0"/>
        <w:numPr>
          <w:ilvl w:val="2"/>
          <w:numId w:val="1"/>
        </w:numPr>
        <w:tabs>
          <w:tab w:val="left" w:pos="709"/>
          <w:tab w:val="left" w:pos="1670"/>
        </w:tabs>
        <w:spacing w:after="0"/>
        <w:ind w:left="851" w:hanging="841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Wzór świadectwa zgodności WE pojazdu bazowego,</w:t>
      </w:r>
    </w:p>
    <w:p w:rsidR="00D61A89" w:rsidRDefault="00865FB0">
      <w:pPr>
        <w:widowControl w:val="0"/>
        <w:numPr>
          <w:ilvl w:val="2"/>
          <w:numId w:val="1"/>
        </w:numPr>
        <w:tabs>
          <w:tab w:val="left" w:pos="709"/>
          <w:tab w:val="left" w:pos="1685"/>
        </w:tabs>
        <w:spacing w:after="0"/>
        <w:ind w:left="920" w:hanging="910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Dokumenty określone w specyfikacji technicznej</w:t>
      </w:r>
    </w:p>
    <w:p w:rsidR="00D61A89" w:rsidRDefault="00D61A89">
      <w:pPr>
        <w:widowControl w:val="0"/>
        <w:spacing w:after="0"/>
        <w:jc w:val="both"/>
        <w:rPr>
          <w:rFonts w:eastAsia="Times New Roman"/>
          <w:color w:val="000000"/>
          <w:sz w:val="12"/>
          <w:szCs w:val="12"/>
          <w:lang w:eastAsia="zh-CN"/>
        </w:rPr>
      </w:pPr>
    </w:p>
    <w:p w:rsidR="00D61A89" w:rsidRDefault="00865FB0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0"/>
        <w:ind w:hanging="1080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>Dokumenty wymagane w fazie</w:t>
      </w:r>
      <w:r>
        <w:rPr>
          <w:rFonts w:eastAsia="Times New Roman"/>
          <w:b/>
          <w:bCs/>
          <w:color w:val="000000"/>
          <w:lang w:eastAsia="zh-CN"/>
        </w:rPr>
        <w:t xml:space="preserve"> odbioru pojazdów.</w:t>
      </w:r>
    </w:p>
    <w:p w:rsidR="00D61A89" w:rsidRDefault="00865FB0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pacing w:after="0"/>
        <w:ind w:hanging="1440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Dokumenty określone w specyfikacji technicznej.</w:t>
      </w:r>
    </w:p>
    <w:p w:rsidR="00D61A89" w:rsidRDefault="00865FB0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pacing w:after="0"/>
        <w:ind w:left="709" w:hanging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W celu potwierdzenia spełnienia przez oferowany pojazd poszczególnych punktów specyfikacji technicznej Zamawiający zastrzega sobie prawo do żądania przedstawienia przez Wykonawcę niezbędnyc</w:t>
      </w:r>
      <w:r>
        <w:rPr>
          <w:rFonts w:eastAsia="Times New Roman"/>
          <w:color w:val="000000"/>
          <w:lang w:eastAsia="zh-CN"/>
        </w:rPr>
        <w:t>h dokumentów, w szczególności dokumentacji technicznej pojazdu i wyników badań laboratoryjnych (w tym np. protokołów z badań).</w:t>
      </w:r>
    </w:p>
    <w:p w:rsidR="00D61A89" w:rsidRDefault="00865FB0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pacing w:after="0"/>
        <w:ind w:left="709" w:hanging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Do pojazdu Wykonawca musi dołączyć w języku polskim następujące dokumenty:</w:t>
      </w:r>
    </w:p>
    <w:p w:rsidR="00D61A89" w:rsidRDefault="00865FB0">
      <w:pPr>
        <w:widowControl w:val="0"/>
        <w:numPr>
          <w:ilvl w:val="0"/>
          <w:numId w:val="5"/>
        </w:numPr>
        <w:tabs>
          <w:tab w:val="left" w:pos="1134"/>
          <w:tab w:val="left" w:pos="16002"/>
          <w:tab w:val="left" w:pos="19044"/>
        </w:tabs>
        <w:spacing w:after="0"/>
        <w:ind w:left="1134" w:hanging="425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książkę gwarancyjną,</w:t>
      </w:r>
    </w:p>
    <w:p w:rsidR="00D61A89" w:rsidRDefault="00865FB0">
      <w:pPr>
        <w:widowControl w:val="0"/>
        <w:numPr>
          <w:ilvl w:val="0"/>
          <w:numId w:val="5"/>
        </w:numPr>
        <w:tabs>
          <w:tab w:val="left" w:pos="1134"/>
          <w:tab w:val="left" w:pos="16002"/>
          <w:tab w:val="left" w:pos="19044"/>
        </w:tabs>
        <w:spacing w:after="0"/>
        <w:ind w:left="1134" w:hanging="425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wykaz wyposażenia,</w:t>
      </w:r>
    </w:p>
    <w:p w:rsidR="00D61A89" w:rsidRDefault="00865FB0">
      <w:pPr>
        <w:widowControl w:val="0"/>
        <w:numPr>
          <w:ilvl w:val="0"/>
          <w:numId w:val="5"/>
        </w:numPr>
        <w:tabs>
          <w:tab w:val="left" w:pos="1134"/>
          <w:tab w:val="left" w:pos="16002"/>
          <w:tab w:val="left" w:pos="19044"/>
        </w:tabs>
        <w:spacing w:after="0"/>
        <w:ind w:left="1134" w:hanging="425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 xml:space="preserve">instrukcję obsługi pojazdu bazowego oraz elementów zabudowy i wyposażenia, </w:t>
      </w:r>
    </w:p>
    <w:p w:rsidR="00D61A89" w:rsidRDefault="00865FB0">
      <w:pPr>
        <w:widowControl w:val="0"/>
        <w:numPr>
          <w:ilvl w:val="0"/>
          <w:numId w:val="5"/>
        </w:numPr>
        <w:tabs>
          <w:tab w:val="left" w:pos="1134"/>
          <w:tab w:val="left" w:pos="16002"/>
          <w:tab w:val="left" w:pos="19044"/>
        </w:tabs>
        <w:spacing w:after="0"/>
        <w:ind w:left="1134" w:hanging="425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książkę przeglądów serwisowych,</w:t>
      </w:r>
    </w:p>
    <w:p w:rsidR="00D61A89" w:rsidRDefault="00865FB0">
      <w:pPr>
        <w:widowControl w:val="0"/>
        <w:numPr>
          <w:ilvl w:val="0"/>
          <w:numId w:val="5"/>
        </w:numPr>
        <w:tabs>
          <w:tab w:val="left" w:pos="1134"/>
          <w:tab w:val="left" w:pos="16002"/>
          <w:tab w:val="left" w:pos="19044"/>
        </w:tabs>
        <w:spacing w:after="0"/>
        <w:ind w:left="1134" w:hanging="425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świadectwo zgodności WE pojazdu bazowego</w:t>
      </w:r>
      <w:r>
        <w:rPr>
          <w:rFonts w:eastAsia="Times New Roman"/>
          <w:lang w:eastAsia="zh-CN"/>
        </w:rPr>
        <w:t xml:space="preserve"> wraz z oświadczeniem producenta/importera potwierdzającym dane pojazdu nie znajdujące się w świadectwie zgo</w:t>
      </w:r>
      <w:r>
        <w:rPr>
          <w:rFonts w:eastAsia="Times New Roman"/>
          <w:lang w:eastAsia="zh-CN"/>
        </w:rPr>
        <w:t>dności, a niezbędne do zarejestrowania pojazdu</w:t>
      </w:r>
      <w:r>
        <w:rPr>
          <w:rFonts w:eastAsia="Times New Roman"/>
          <w:color w:val="000000"/>
          <w:lang w:eastAsia="zh-CN"/>
        </w:rPr>
        <w:t>,</w:t>
      </w:r>
    </w:p>
    <w:p w:rsidR="00D61A89" w:rsidRDefault="00865FB0">
      <w:pPr>
        <w:widowControl w:val="0"/>
        <w:numPr>
          <w:ilvl w:val="0"/>
          <w:numId w:val="5"/>
        </w:numPr>
        <w:tabs>
          <w:tab w:val="left" w:pos="1134"/>
          <w:tab w:val="left" w:pos="16002"/>
          <w:tab w:val="left" w:pos="19044"/>
        </w:tabs>
        <w:spacing w:after="0"/>
        <w:ind w:left="1134" w:hanging="425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dokument potwierdzający przeprowadzenie pierwszego badania technicznego pojazdu przed pierwszą rejestracją,</w:t>
      </w:r>
    </w:p>
    <w:p w:rsidR="00D61A89" w:rsidRDefault="00865FB0">
      <w:pPr>
        <w:widowControl w:val="0"/>
        <w:numPr>
          <w:ilvl w:val="0"/>
          <w:numId w:val="5"/>
        </w:numPr>
        <w:tabs>
          <w:tab w:val="left" w:pos="1134"/>
          <w:tab w:val="left" w:pos="16002"/>
          <w:tab w:val="left" w:pos="19044"/>
        </w:tabs>
        <w:spacing w:after="0"/>
        <w:ind w:left="1134" w:hanging="425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W</w:t>
      </w:r>
      <w:r>
        <w:t xml:space="preserve">ykonawca w dniu odbioru pojazdu przekaże informację (w formie pisemnej) o ilości, rodzaju i klasie </w:t>
      </w:r>
      <w:r>
        <w:t xml:space="preserve">zalanego oleju silnikowego, przekładniowego i hydraulicznego. </w:t>
      </w:r>
    </w:p>
    <w:sectPr w:rsidR="00D61A89">
      <w:headerReference w:type="default" r:id="rId8"/>
      <w:footerReference w:type="default" r:id="rId9"/>
      <w:headerReference w:type="first" r:id="rId10"/>
      <w:pgSz w:w="11906" w:h="16838"/>
      <w:pgMar w:top="993" w:right="1133" w:bottom="765" w:left="993" w:header="397" w:footer="708" w:gutter="0"/>
      <w:cols w:space="708"/>
      <w:formProt w:val="0"/>
      <w:titlePg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5FB0">
      <w:pPr>
        <w:spacing w:after="0" w:line="240" w:lineRule="auto"/>
      </w:pPr>
      <w:r>
        <w:separator/>
      </w:r>
    </w:p>
  </w:endnote>
  <w:endnote w:type="continuationSeparator" w:id="0">
    <w:p w:rsidR="00000000" w:rsidRDefault="008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Yu Gothic"/>
    <w:charset w:val="EE"/>
    <w:family w:val="roman"/>
    <w:pitch w:val="variable"/>
  </w:font>
  <w:font w:name="ArialMT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575877"/>
      <w:docPartObj>
        <w:docPartGallery w:val="Page Numbers (Bottom of Page)"/>
        <w:docPartUnique/>
      </w:docPartObj>
    </w:sdtPr>
    <w:sdtEndPr/>
    <w:sdtContent>
      <w:p w:rsidR="00D61A89" w:rsidRDefault="00865FB0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7</w:t>
        </w:r>
        <w:r>
          <w:rPr>
            <w:sz w:val="16"/>
            <w:szCs w:val="16"/>
          </w:rPr>
          <w:fldChar w:fldCharType="end"/>
        </w:r>
      </w:p>
    </w:sdtContent>
  </w:sdt>
  <w:p w:rsidR="00D61A89" w:rsidRDefault="00D6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5FB0">
      <w:pPr>
        <w:spacing w:after="0" w:line="240" w:lineRule="auto"/>
      </w:pPr>
      <w:r>
        <w:separator/>
      </w:r>
    </w:p>
  </w:footnote>
  <w:footnote w:type="continuationSeparator" w:id="0">
    <w:p w:rsidR="00000000" w:rsidRDefault="0086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89" w:rsidRDefault="00865FB0">
    <w:pPr>
      <w:pStyle w:val="Nagwek"/>
      <w:tabs>
        <w:tab w:val="clear" w:pos="4536"/>
        <w:tab w:val="clear" w:pos="9072"/>
        <w:tab w:val="center" w:pos="8364"/>
      </w:tabs>
      <w:jc w:val="center"/>
      <w:rPr>
        <w:sz w:val="16"/>
        <w:szCs w:val="16"/>
      </w:rPr>
    </w:pPr>
    <w:r>
      <w:rPr>
        <w:sz w:val="16"/>
        <w:szCs w:val="16"/>
      </w:rPr>
      <w:tab/>
      <w:t xml:space="preserve">               Zał. Nr 4 do Wniosku</w:t>
    </w:r>
  </w:p>
  <w:p w:rsidR="00D61A89" w:rsidRDefault="00865FB0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Kt</w:t>
    </w:r>
    <w:proofErr w:type="spellEnd"/>
    <w:r>
      <w:rPr>
        <w:sz w:val="16"/>
        <w:szCs w:val="16"/>
      </w:rPr>
      <w:t xml:space="preserve"> II-2380.6.2024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89" w:rsidRDefault="00865FB0">
    <w:pPr>
      <w:pStyle w:val="Nagwek"/>
      <w:tabs>
        <w:tab w:val="clear" w:pos="4536"/>
        <w:tab w:val="clear" w:pos="9072"/>
        <w:tab w:val="center" w:pos="8364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Zał. Nr 2</w:t>
    </w:r>
    <w:r>
      <w:rPr>
        <w:sz w:val="16"/>
        <w:szCs w:val="16"/>
      </w:rPr>
      <w:t xml:space="preserve"> do SWZ</w:t>
    </w:r>
  </w:p>
  <w:p w:rsidR="00D61A89" w:rsidRDefault="00865FB0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FZ-2380/32/24/MK</w:t>
    </w:r>
  </w:p>
  <w:p w:rsidR="00D61A89" w:rsidRDefault="00D61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4B64"/>
    <w:multiLevelType w:val="multilevel"/>
    <w:tmpl w:val="1B2CE7B2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eastAsia="Times New Roman" w:cs="Arial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2A4D20"/>
    <w:multiLevelType w:val="multilevel"/>
    <w:tmpl w:val="20A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7B1312"/>
    <w:multiLevelType w:val="multilevel"/>
    <w:tmpl w:val="9F784CF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3" w15:restartNumberingAfterBreak="0">
    <w:nsid w:val="16F15C4C"/>
    <w:multiLevelType w:val="multilevel"/>
    <w:tmpl w:val="3EE42A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253B3D"/>
    <w:multiLevelType w:val="multilevel"/>
    <w:tmpl w:val="8968F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eastAsia="Calibri" w:cs="Arial"/>
        <w:b w:val="0"/>
        <w:bCs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6983F22"/>
    <w:multiLevelType w:val="multilevel"/>
    <w:tmpl w:val="6A908AA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6" w15:restartNumberingAfterBreak="0">
    <w:nsid w:val="2C9A46A5"/>
    <w:multiLevelType w:val="multilevel"/>
    <w:tmpl w:val="CD54B20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A01AA3"/>
    <w:multiLevelType w:val="multilevel"/>
    <w:tmpl w:val="3176FBE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6396230"/>
    <w:multiLevelType w:val="multilevel"/>
    <w:tmpl w:val="208E55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62F75B52"/>
    <w:multiLevelType w:val="multilevel"/>
    <w:tmpl w:val="3698EEB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" w15:restartNumberingAfterBreak="0">
    <w:nsid w:val="63853766"/>
    <w:multiLevelType w:val="multilevel"/>
    <w:tmpl w:val="11DC7A68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eastAsia="Times New Roman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79D0D7E"/>
    <w:multiLevelType w:val="multilevel"/>
    <w:tmpl w:val="A93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A89"/>
    <w:rsid w:val="00865FB0"/>
    <w:rsid w:val="00D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2528"/>
  <w15:docId w15:val="{08854484-3423-4E0C-AFF9-0DE006A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452D"/>
  </w:style>
  <w:style w:type="character" w:customStyle="1" w:styleId="StopkaZnak">
    <w:name w:val="Stopka Znak"/>
    <w:basedOn w:val="Domylnaczcionkaakapitu"/>
    <w:link w:val="Stopka"/>
    <w:uiPriority w:val="99"/>
    <w:qFormat/>
    <w:rsid w:val="00A545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45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45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45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45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6F9B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BA0D3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A408-C849-4E0C-94DC-737A3F2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3395</Words>
  <Characters>20370</Characters>
  <Application>Microsoft Office Word</Application>
  <DocSecurity>0</DocSecurity>
  <Lines>169</Lines>
  <Paragraphs>47</Paragraphs>
  <ScaleCrop>false</ScaleCrop>
  <Company>Hewlett-Packard Company</Company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Czajowska Małgorzata</dc:creator>
  <dc:description/>
  <cp:lastModifiedBy>A51552</cp:lastModifiedBy>
  <cp:revision>36</cp:revision>
  <cp:lastPrinted>2024-04-26T08:12:00Z</cp:lastPrinted>
  <dcterms:created xsi:type="dcterms:W3CDTF">2024-04-22T08:11:00Z</dcterms:created>
  <dcterms:modified xsi:type="dcterms:W3CDTF">2024-06-27T09:59:00Z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