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33E" w:rsidRPr="00C23ED7" w:rsidRDefault="00BE533E" w:rsidP="00B03168">
      <w:pPr>
        <w:spacing w:line="276" w:lineRule="auto"/>
        <w:jc w:val="both"/>
        <w:rPr>
          <w:rFonts w:ascii="Calibri" w:hAnsi="Calibri" w:cs="Calibri"/>
          <w:sz w:val="20"/>
        </w:rPr>
      </w:pPr>
    </w:p>
    <w:tbl>
      <w:tblPr>
        <w:tblW w:w="0" w:type="auto"/>
        <w:tblLook w:val="01E0" w:firstRow="1" w:lastRow="1" w:firstColumn="1" w:lastColumn="1" w:noHBand="0" w:noVBand="0"/>
      </w:tblPr>
      <w:tblGrid>
        <w:gridCol w:w="4494"/>
        <w:gridCol w:w="4437"/>
      </w:tblGrid>
      <w:tr w:rsidR="00DA1866" w:rsidRPr="00604A32" w:rsidTr="00F12884">
        <w:tc>
          <w:tcPr>
            <w:tcW w:w="4528" w:type="dxa"/>
            <w:hideMark/>
          </w:tcPr>
          <w:p w:rsidR="00DA1866" w:rsidRPr="00604A32" w:rsidRDefault="00DA1866" w:rsidP="00535895">
            <w:pPr>
              <w:suppressAutoHyphens/>
              <w:ind w:left="-108"/>
              <w:rPr>
                <w:rFonts w:ascii="Calibri" w:eastAsia="Calibri" w:hAnsi="Calibri" w:cs="Calibri"/>
                <w:sz w:val="22"/>
                <w:szCs w:val="22"/>
                <w:lang w:eastAsia="ar-SA"/>
              </w:rPr>
            </w:pPr>
            <w:r w:rsidRPr="00604A32">
              <w:rPr>
                <w:rFonts w:ascii="Calibri" w:hAnsi="Calibri" w:cs="Calibri"/>
                <w:sz w:val="22"/>
                <w:szCs w:val="22"/>
              </w:rPr>
              <w:t xml:space="preserve">Poznań, </w:t>
            </w:r>
            <w:r w:rsidR="00535895">
              <w:rPr>
                <w:rFonts w:ascii="Calibri" w:hAnsi="Calibri" w:cs="Calibri"/>
                <w:sz w:val="22"/>
                <w:szCs w:val="22"/>
              </w:rPr>
              <w:t>26</w:t>
            </w:r>
            <w:r w:rsidR="00604A32" w:rsidRPr="00604A32">
              <w:rPr>
                <w:rFonts w:ascii="Calibri" w:hAnsi="Calibri" w:cs="Calibri"/>
                <w:sz w:val="22"/>
                <w:szCs w:val="22"/>
              </w:rPr>
              <w:t xml:space="preserve"> </w:t>
            </w:r>
            <w:r w:rsidR="00FA3F02">
              <w:rPr>
                <w:rFonts w:ascii="Calibri" w:hAnsi="Calibri" w:cs="Calibri"/>
                <w:sz w:val="22"/>
                <w:szCs w:val="22"/>
              </w:rPr>
              <w:t>sierpnia</w:t>
            </w:r>
            <w:r w:rsidR="00604A32" w:rsidRPr="00604A32">
              <w:rPr>
                <w:rFonts w:ascii="Calibri" w:hAnsi="Calibri" w:cs="Calibri"/>
                <w:sz w:val="22"/>
                <w:szCs w:val="22"/>
              </w:rPr>
              <w:t xml:space="preserve"> </w:t>
            </w:r>
            <w:r w:rsidR="001E697D" w:rsidRPr="00604A32">
              <w:rPr>
                <w:rFonts w:ascii="Calibri" w:hAnsi="Calibri" w:cs="Calibri"/>
                <w:sz w:val="22"/>
                <w:szCs w:val="22"/>
              </w:rPr>
              <w:t>2024</w:t>
            </w:r>
            <w:r w:rsidRPr="00604A32">
              <w:rPr>
                <w:rFonts w:ascii="Calibri" w:hAnsi="Calibri" w:cs="Calibri"/>
                <w:sz w:val="22"/>
                <w:szCs w:val="22"/>
              </w:rPr>
              <w:t xml:space="preserve"> r.</w:t>
            </w:r>
          </w:p>
        </w:tc>
        <w:tc>
          <w:tcPr>
            <w:tcW w:w="4477" w:type="dxa"/>
            <w:hideMark/>
          </w:tcPr>
          <w:p w:rsidR="00DA1866" w:rsidRPr="00604A32" w:rsidRDefault="00DA1866" w:rsidP="003A478C">
            <w:pPr>
              <w:suppressAutoHyphens/>
              <w:rPr>
                <w:rFonts w:ascii="Calibri" w:eastAsia="Calibri" w:hAnsi="Calibri" w:cs="Calibri"/>
                <w:sz w:val="22"/>
                <w:szCs w:val="22"/>
                <w:lang w:eastAsia="ar-SA"/>
              </w:rPr>
            </w:pPr>
          </w:p>
        </w:tc>
      </w:tr>
    </w:tbl>
    <w:p w:rsidR="00DA1866" w:rsidRPr="00604A32" w:rsidRDefault="00F12884" w:rsidP="003A478C">
      <w:pPr>
        <w:rPr>
          <w:rFonts w:ascii="Calibri" w:eastAsia="Calibri" w:hAnsi="Calibri" w:cs="Calibri"/>
          <w:sz w:val="22"/>
          <w:szCs w:val="22"/>
          <w:lang w:eastAsia="ar-SA"/>
        </w:rPr>
      </w:pPr>
      <w:r w:rsidRPr="00604A32">
        <w:rPr>
          <w:rFonts w:ascii="Calibri" w:eastAsia="Calibri" w:hAnsi="Calibri" w:cs="Calibri"/>
          <w:sz w:val="22"/>
          <w:szCs w:val="22"/>
          <w:lang w:eastAsia="ar-SA"/>
        </w:rPr>
        <w:t>K-292-4-</w:t>
      </w:r>
      <w:r w:rsidR="00535895">
        <w:rPr>
          <w:rFonts w:ascii="Calibri" w:eastAsia="Calibri" w:hAnsi="Calibri" w:cs="Calibri"/>
          <w:sz w:val="22"/>
          <w:szCs w:val="22"/>
          <w:lang w:eastAsia="ar-SA"/>
        </w:rPr>
        <w:t>600</w:t>
      </w:r>
      <w:r w:rsidR="00132EFF" w:rsidRPr="00604A32">
        <w:rPr>
          <w:rFonts w:ascii="Calibri" w:eastAsia="Calibri" w:hAnsi="Calibri" w:cs="Calibri"/>
          <w:sz w:val="22"/>
          <w:szCs w:val="22"/>
          <w:lang w:eastAsia="ar-SA"/>
        </w:rPr>
        <w:t>/</w:t>
      </w:r>
      <w:r w:rsidR="00E15126">
        <w:rPr>
          <w:rFonts w:ascii="Calibri" w:eastAsia="Calibri" w:hAnsi="Calibri" w:cs="Calibri"/>
          <w:sz w:val="22"/>
          <w:szCs w:val="22"/>
          <w:lang w:eastAsia="ar-SA"/>
        </w:rPr>
        <w:t>20</w:t>
      </w:r>
      <w:r w:rsidR="005B0669" w:rsidRPr="00604A32">
        <w:rPr>
          <w:rFonts w:ascii="Calibri" w:eastAsia="Calibri" w:hAnsi="Calibri" w:cs="Calibri"/>
          <w:sz w:val="22"/>
          <w:szCs w:val="22"/>
          <w:lang w:eastAsia="ar-SA"/>
        </w:rPr>
        <w:t>24</w:t>
      </w:r>
    </w:p>
    <w:p w:rsidR="0027796E" w:rsidRDefault="0027796E" w:rsidP="003A478C">
      <w:pPr>
        <w:rPr>
          <w:rFonts w:ascii="Calibri" w:hAnsi="Calibri" w:cs="Calibri"/>
          <w:b/>
          <w:sz w:val="20"/>
        </w:rPr>
      </w:pPr>
    </w:p>
    <w:p w:rsidR="00FA3F02" w:rsidRPr="009C32B2" w:rsidRDefault="00FA3F02" w:rsidP="003A478C">
      <w:pPr>
        <w:rPr>
          <w:rFonts w:ascii="Calibri" w:hAnsi="Calibri" w:cs="Calibri"/>
          <w:b/>
          <w:sz w:val="20"/>
        </w:rPr>
      </w:pPr>
    </w:p>
    <w:p w:rsidR="00DA1866" w:rsidRPr="00C77574" w:rsidRDefault="00F12884" w:rsidP="003A478C">
      <w:pPr>
        <w:jc w:val="center"/>
        <w:rPr>
          <w:rFonts w:ascii="Calibri" w:hAnsi="Calibri" w:cs="Calibri"/>
          <w:b/>
          <w:sz w:val="22"/>
          <w:szCs w:val="22"/>
        </w:rPr>
      </w:pPr>
      <w:r w:rsidRPr="00C77574">
        <w:rPr>
          <w:rFonts w:ascii="Calibri" w:hAnsi="Calibri" w:cs="Calibri"/>
          <w:b/>
          <w:sz w:val="22"/>
          <w:szCs w:val="22"/>
        </w:rPr>
        <w:t>DO WSZYSTKICH WYKONAWCÓW</w:t>
      </w:r>
    </w:p>
    <w:p w:rsidR="00222461" w:rsidRDefault="00222461" w:rsidP="005C119F">
      <w:pPr>
        <w:spacing w:line="276" w:lineRule="auto"/>
        <w:jc w:val="both"/>
        <w:rPr>
          <w:rFonts w:ascii="Calibri" w:hAnsi="Calibri" w:cs="Calibri"/>
          <w:sz w:val="22"/>
          <w:szCs w:val="22"/>
        </w:rPr>
      </w:pPr>
    </w:p>
    <w:p w:rsidR="00FA3F02" w:rsidRPr="00C77574" w:rsidRDefault="00FA3F02" w:rsidP="005C119F">
      <w:pPr>
        <w:spacing w:line="276" w:lineRule="auto"/>
        <w:jc w:val="both"/>
        <w:rPr>
          <w:rFonts w:ascii="Calibri" w:hAnsi="Calibri" w:cs="Calibri"/>
          <w:sz w:val="22"/>
          <w:szCs w:val="22"/>
        </w:rPr>
      </w:pPr>
    </w:p>
    <w:p w:rsidR="001E697D" w:rsidRPr="00C77574" w:rsidRDefault="00F12884" w:rsidP="00FA3F02">
      <w:pPr>
        <w:pStyle w:val="Akapitzlist"/>
        <w:spacing w:line="276" w:lineRule="auto"/>
        <w:ind w:left="0"/>
        <w:jc w:val="both"/>
        <w:rPr>
          <w:rFonts w:ascii="Calibri" w:hAnsi="Calibri" w:cs="Calibri"/>
          <w:sz w:val="22"/>
          <w:szCs w:val="22"/>
        </w:rPr>
      </w:pPr>
      <w:r w:rsidRPr="00C77574">
        <w:rPr>
          <w:rFonts w:ascii="Calibri" w:eastAsia="Calibri" w:hAnsi="Calibri" w:cs="Calibri"/>
          <w:sz w:val="22"/>
          <w:szCs w:val="22"/>
        </w:rPr>
        <w:t xml:space="preserve">Uniwersytet Ekonomiczny w Poznaniu informuje, że w postępowaniu o udzielenie zamówienia publicznego </w:t>
      </w:r>
      <w:r w:rsidR="00FA3F02">
        <w:rPr>
          <w:rFonts w:ascii="Calibri" w:eastAsia="Calibri" w:hAnsi="Calibri" w:cs="Calibri"/>
          <w:sz w:val="22"/>
          <w:szCs w:val="22"/>
        </w:rPr>
        <w:t>pn.</w:t>
      </w:r>
      <w:r w:rsidR="00FA3F02" w:rsidRPr="00FA3F02">
        <w:rPr>
          <w:rFonts w:ascii="Calibri" w:hAnsi="Calibri" w:cs="Calibri"/>
          <w:b/>
          <w:bCs/>
          <w:sz w:val="22"/>
          <w:szCs w:val="22"/>
        </w:rPr>
        <w:t xml:space="preserve">: </w:t>
      </w:r>
      <w:r w:rsidR="00E15126" w:rsidRPr="00E15126">
        <w:rPr>
          <w:rFonts w:ascii="Calibri" w:hAnsi="Calibri" w:cs="Calibri"/>
          <w:b/>
          <w:bCs/>
          <w:sz w:val="22"/>
          <w:szCs w:val="22"/>
        </w:rPr>
        <w:t>Ubezpieczenie podróży służbowych, majątku i odpowiedzialności cywilnej oraz następstw nieszczęśliwych wypadków studentów UEP</w:t>
      </w:r>
      <w:r w:rsidR="00E15126" w:rsidRPr="00E15126">
        <w:rPr>
          <w:rFonts w:ascii="Calibri" w:eastAsia="Arial" w:hAnsi="Calibri" w:cs="Calibri"/>
          <w:b/>
          <w:bCs/>
          <w:sz w:val="22"/>
          <w:szCs w:val="22"/>
        </w:rPr>
        <w:t xml:space="preserve"> </w:t>
      </w:r>
      <w:r w:rsidR="00F2064E" w:rsidRPr="00C77574">
        <w:rPr>
          <w:rFonts w:ascii="Calibri" w:eastAsia="Arial" w:hAnsi="Calibri" w:cs="Calibri"/>
          <w:b/>
          <w:sz w:val="22"/>
          <w:szCs w:val="22"/>
          <w:lang w:val="pl"/>
        </w:rPr>
        <w:t>(ZP/0</w:t>
      </w:r>
      <w:r w:rsidR="009207BC">
        <w:rPr>
          <w:rFonts w:ascii="Calibri" w:eastAsia="Arial" w:hAnsi="Calibri" w:cs="Calibri"/>
          <w:b/>
          <w:sz w:val="22"/>
          <w:szCs w:val="22"/>
          <w:lang w:val="pl"/>
        </w:rPr>
        <w:t>2</w:t>
      </w:r>
      <w:r w:rsidR="00E15126">
        <w:rPr>
          <w:rFonts w:ascii="Calibri" w:eastAsia="Arial" w:hAnsi="Calibri" w:cs="Calibri"/>
          <w:b/>
          <w:sz w:val="22"/>
          <w:szCs w:val="22"/>
          <w:lang w:val="pl"/>
        </w:rPr>
        <w:t>8</w:t>
      </w:r>
      <w:r w:rsidR="00D87FB3" w:rsidRPr="00C77574">
        <w:rPr>
          <w:rFonts w:ascii="Calibri" w:eastAsia="Arial" w:hAnsi="Calibri" w:cs="Calibri"/>
          <w:b/>
          <w:sz w:val="22"/>
          <w:szCs w:val="22"/>
          <w:lang w:val="pl"/>
        </w:rPr>
        <w:t>/24</w:t>
      </w:r>
      <w:r w:rsidR="006852C2" w:rsidRPr="00C77574">
        <w:rPr>
          <w:rFonts w:ascii="Calibri" w:eastAsia="Arial" w:hAnsi="Calibri" w:cs="Calibri"/>
          <w:b/>
          <w:sz w:val="22"/>
          <w:szCs w:val="22"/>
          <w:lang w:val="pl"/>
        </w:rPr>
        <w:t>)</w:t>
      </w:r>
      <w:r w:rsidR="00280630" w:rsidRPr="00C77574">
        <w:rPr>
          <w:rFonts w:ascii="Calibri" w:eastAsia="Arial" w:hAnsi="Calibri" w:cs="Calibri"/>
          <w:b/>
          <w:sz w:val="22"/>
          <w:szCs w:val="22"/>
          <w:lang w:val="pl"/>
        </w:rPr>
        <w:t>,</w:t>
      </w:r>
      <w:r w:rsidRPr="00C77574">
        <w:rPr>
          <w:rFonts w:ascii="Calibri" w:hAnsi="Calibri" w:cs="Calibri"/>
          <w:sz w:val="22"/>
          <w:szCs w:val="22"/>
          <w:lang w:eastAsia="x-none"/>
        </w:rPr>
        <w:t xml:space="preserve"> p</w:t>
      </w:r>
      <w:r w:rsidR="00280630" w:rsidRPr="00C77574">
        <w:rPr>
          <w:rFonts w:ascii="Calibri" w:hAnsi="Calibri" w:cs="Calibri"/>
          <w:sz w:val="22"/>
          <w:szCs w:val="22"/>
          <w:lang w:eastAsia="x-none"/>
        </w:rPr>
        <w:t>rowadzon</w:t>
      </w:r>
      <w:r w:rsidR="00945516" w:rsidRPr="00C77574">
        <w:rPr>
          <w:rFonts w:ascii="Calibri" w:hAnsi="Calibri" w:cs="Calibri"/>
          <w:sz w:val="22"/>
          <w:szCs w:val="22"/>
          <w:lang w:eastAsia="x-none"/>
        </w:rPr>
        <w:t xml:space="preserve">ym w trybie podstawowym </w:t>
      </w:r>
      <w:r w:rsidR="00E15126">
        <w:rPr>
          <w:rFonts w:ascii="Calibri" w:hAnsi="Calibri" w:cs="Calibri"/>
          <w:sz w:val="22"/>
          <w:szCs w:val="22"/>
          <w:lang w:eastAsia="x-none"/>
        </w:rPr>
        <w:t>wpłynęły</w:t>
      </w:r>
      <w:r w:rsidR="007548FC" w:rsidRPr="00C77574">
        <w:rPr>
          <w:rFonts w:ascii="Calibri" w:hAnsi="Calibri" w:cs="Calibri"/>
          <w:sz w:val="22"/>
          <w:szCs w:val="22"/>
          <w:lang w:eastAsia="x-none"/>
        </w:rPr>
        <w:t xml:space="preserve"> pytani</w:t>
      </w:r>
      <w:r w:rsidR="00E15126">
        <w:rPr>
          <w:rFonts w:ascii="Calibri" w:hAnsi="Calibri" w:cs="Calibri"/>
          <w:sz w:val="22"/>
          <w:szCs w:val="22"/>
          <w:lang w:eastAsia="x-none"/>
        </w:rPr>
        <w:t>a</w:t>
      </w:r>
      <w:r w:rsidR="007548FC" w:rsidRPr="00C77574">
        <w:rPr>
          <w:rFonts w:ascii="Calibri" w:hAnsi="Calibri" w:cs="Calibri"/>
          <w:sz w:val="22"/>
          <w:szCs w:val="22"/>
          <w:lang w:eastAsia="x-none"/>
        </w:rPr>
        <w:t>, na które Zamawiający niniejszym odpowiada</w:t>
      </w:r>
      <w:r w:rsidR="001E697D" w:rsidRPr="00C77574">
        <w:rPr>
          <w:rFonts w:ascii="Calibri" w:hAnsi="Calibri" w:cs="Calibri"/>
          <w:sz w:val="22"/>
          <w:szCs w:val="22"/>
        </w:rPr>
        <w:t>:</w:t>
      </w:r>
    </w:p>
    <w:p w:rsidR="00535895" w:rsidRDefault="00535895" w:rsidP="00535895">
      <w:pPr>
        <w:spacing w:before="120"/>
        <w:jc w:val="both"/>
        <w:rPr>
          <w:rFonts w:ascii="Arial" w:hAnsi="Arial" w:cs="Arial"/>
          <w:b/>
          <w:sz w:val="20"/>
        </w:rPr>
      </w:pPr>
    </w:p>
    <w:p w:rsidR="00535895" w:rsidRPr="00535895" w:rsidRDefault="00535895" w:rsidP="00535895">
      <w:pPr>
        <w:spacing w:before="120"/>
        <w:jc w:val="both"/>
        <w:rPr>
          <w:rFonts w:ascii="Arial" w:hAnsi="Arial" w:cs="Arial"/>
          <w:b/>
          <w:sz w:val="20"/>
        </w:rPr>
      </w:pPr>
      <w:r w:rsidRPr="00535895">
        <w:rPr>
          <w:rFonts w:ascii="Arial" w:hAnsi="Arial" w:cs="Arial"/>
          <w:b/>
          <w:sz w:val="20"/>
        </w:rPr>
        <w:t>Część I:</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Definicje - koszty leczenia - prosimy o zmianę zapisu na następujący: „niezbędne z medycznego punktu widzenia </w:t>
      </w:r>
      <w:r w:rsidRPr="00535895">
        <w:rPr>
          <w:rFonts w:ascii="Arial" w:hAnsi="Arial" w:cs="Arial"/>
          <w:b/>
          <w:sz w:val="20"/>
        </w:rPr>
        <w:t>i udokumentowane</w:t>
      </w:r>
      <w:r w:rsidRPr="00535895">
        <w:rPr>
          <w:rFonts w:ascii="Arial" w:hAnsi="Arial" w:cs="Arial"/>
          <w:bCs/>
          <w:sz w:val="20"/>
        </w:rPr>
        <w:t xml:space="preserve"> koszty pomocy medycznej udzielonej ubezpieczonemu podczas podróży zagranicznej w związku z nagłym zachorowaniem lub nieszczęśliwym wypadkiem”</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Definicje - nieszczęśliwy wypadek – prosimy o zmianę zapisu na następujący: „nagłe zdarzenie, wywołane przyczyną zewnętrzną, w następstwie, którego ubezpieczony niezależnie od swej woli doznał </w:t>
      </w:r>
      <w:r w:rsidRPr="00535895">
        <w:rPr>
          <w:rFonts w:ascii="Arial" w:hAnsi="Arial" w:cs="Arial"/>
          <w:b/>
          <w:sz w:val="20"/>
        </w:rPr>
        <w:t>trwałego uszkodzenia ciała</w:t>
      </w:r>
      <w:r w:rsidRPr="00535895">
        <w:rPr>
          <w:rFonts w:ascii="Arial" w:hAnsi="Arial" w:cs="Arial"/>
          <w:bCs/>
          <w:sz w:val="20"/>
        </w:rPr>
        <w:t>, rozstroju zdrowia albo zmarł”</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Definicje - trwały uszczerbek na zdrowiu – prosimy o zmianę zapisu na następujący: „trwałe uszkodzenie ciała </w:t>
      </w:r>
      <w:r w:rsidRPr="00535895">
        <w:rPr>
          <w:rFonts w:ascii="Arial" w:hAnsi="Arial" w:cs="Arial"/>
          <w:bCs/>
          <w:strike/>
          <w:sz w:val="20"/>
        </w:rPr>
        <w:t>lub rozstrój zdrowia</w:t>
      </w:r>
      <w:r w:rsidRPr="00535895">
        <w:rPr>
          <w:rFonts w:ascii="Arial" w:hAnsi="Arial" w:cs="Arial"/>
          <w:bCs/>
          <w:sz w:val="20"/>
        </w:rPr>
        <w:t xml:space="preserve"> osoby ubezpieczonej spowodowane nieszczęśliwym wypadkiem objętym ubezpieczeniem, </w:t>
      </w:r>
      <w:r w:rsidRPr="00535895">
        <w:rPr>
          <w:rFonts w:ascii="Arial" w:hAnsi="Arial" w:cs="Arial"/>
          <w:b/>
          <w:sz w:val="20"/>
        </w:rPr>
        <w:t>przy czym przez trwałe uszkodzenie ciała rozumie się trwały ubytek struktury i funkcji narządu lub kończyny.</w:t>
      </w:r>
    </w:p>
    <w:p w:rsidR="00535895" w:rsidRPr="00535895" w:rsidRDefault="00535895" w:rsidP="00535895">
      <w:pPr>
        <w:spacing w:before="120"/>
        <w:ind w:left="426"/>
        <w:jc w:val="both"/>
        <w:rPr>
          <w:rFonts w:ascii="Arial" w:hAnsi="Arial" w:cs="Arial"/>
          <w:bCs/>
          <w:sz w:val="20"/>
        </w:rPr>
      </w:pPr>
      <w:r w:rsidRPr="00535895">
        <w:rPr>
          <w:rFonts w:ascii="Arial" w:hAnsi="Arial" w:cs="Arial"/>
          <w:b/>
          <w:sz w:val="20"/>
        </w:rPr>
        <w:t>Odpowiedź:&lt;&lt; 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Definicje - leczenie ambulatoryjne – prosimy o zmianę zapisu na następujący: „udzielenie </w:t>
      </w:r>
      <w:r w:rsidRPr="00535895">
        <w:rPr>
          <w:rFonts w:ascii="Arial" w:hAnsi="Arial" w:cs="Arial"/>
          <w:bCs/>
          <w:strike/>
          <w:sz w:val="20"/>
        </w:rPr>
        <w:t>pomocy lekarskiej</w:t>
      </w:r>
      <w:r w:rsidRPr="00535895">
        <w:rPr>
          <w:rFonts w:ascii="Arial" w:hAnsi="Arial" w:cs="Arial"/>
          <w:bCs/>
          <w:sz w:val="20"/>
        </w:rPr>
        <w:t xml:space="preserve"> </w:t>
      </w:r>
      <w:r w:rsidRPr="00535895">
        <w:rPr>
          <w:rFonts w:ascii="Arial" w:hAnsi="Arial" w:cs="Arial"/>
          <w:b/>
          <w:sz w:val="20"/>
        </w:rPr>
        <w:t>świadczeń zdrowotnych</w:t>
      </w:r>
      <w:r w:rsidRPr="00535895">
        <w:rPr>
          <w:rFonts w:ascii="Arial" w:hAnsi="Arial" w:cs="Arial"/>
          <w:bCs/>
          <w:sz w:val="20"/>
        </w:rPr>
        <w:t xml:space="preserve"> w szpitalu lub innej placówce medycznej </w:t>
      </w:r>
      <w:r w:rsidRPr="00535895">
        <w:rPr>
          <w:rFonts w:ascii="Arial" w:hAnsi="Arial" w:cs="Arial"/>
          <w:b/>
          <w:sz w:val="20"/>
        </w:rPr>
        <w:t>działającej zgodnie z prawem</w:t>
      </w:r>
      <w:r w:rsidRPr="00535895">
        <w:rPr>
          <w:rFonts w:ascii="Arial" w:hAnsi="Arial" w:cs="Arial"/>
          <w:bCs/>
          <w:sz w:val="20"/>
        </w:rPr>
        <w:t>, trwające nie dłużej niż 24 godziny”</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Definicje - choroba przewlekła – prosimy o zmianę zapisu na następujący: „choroba, w której obrazie, zgodnie z aktualną wiedzą medyczną, znajduje się długotrwałe, stałe albo nawracające występowanie objawów albo odchyleń w badaniach dodatkowych i która była rozpoznana, zdiagnozowana</w:t>
      </w:r>
      <w:r w:rsidRPr="00535895">
        <w:rPr>
          <w:rFonts w:ascii="Arial" w:hAnsi="Arial" w:cs="Arial"/>
          <w:b/>
          <w:sz w:val="20"/>
        </w:rPr>
        <w:t>,</w:t>
      </w:r>
      <w:r w:rsidRPr="00535895">
        <w:rPr>
          <w:sz w:val="20"/>
        </w:rPr>
        <w:t xml:space="preserve"> </w:t>
      </w:r>
      <w:r w:rsidRPr="00535895">
        <w:rPr>
          <w:rFonts w:ascii="Arial" w:hAnsi="Arial" w:cs="Arial"/>
          <w:b/>
          <w:sz w:val="20"/>
        </w:rPr>
        <w:t>leczona lub dawała objawy</w:t>
      </w:r>
      <w:r w:rsidRPr="00535895">
        <w:rPr>
          <w:rFonts w:ascii="Arial" w:hAnsi="Arial" w:cs="Arial"/>
          <w:bCs/>
          <w:sz w:val="20"/>
        </w:rPr>
        <w:t xml:space="preserve"> w okresie 24 miesięcy poprzedzających datę zawarcia ubezpieczenia”.</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Definicje - zaostrzenie chorób przewlekłych – prosimy o zmianę zapisu na następujący: „nagłe nasilenie objawów choroby przewlekłej o ostrym (burzliwym) przebiegu, wymagające udzielenia natychmiastowej pomocy lekarskiej </w:t>
      </w:r>
      <w:r w:rsidRPr="00535895">
        <w:rPr>
          <w:rFonts w:ascii="Arial" w:hAnsi="Arial" w:cs="Arial"/>
          <w:b/>
          <w:sz w:val="20"/>
        </w:rPr>
        <w:t>w związku z któ</w:t>
      </w:r>
      <w:r w:rsidRPr="00535895">
        <w:rPr>
          <w:rFonts w:ascii="Arial" w:hAnsi="Arial" w:cs="Arial"/>
          <w:b/>
          <w:sz w:val="20"/>
        </w:rPr>
        <w:softHyphen/>
        <w:t>rym nastąpiła konieczność poddania się przez Ubezpieczonego le</w:t>
      </w:r>
      <w:r w:rsidRPr="00535895">
        <w:rPr>
          <w:rFonts w:ascii="Arial" w:hAnsi="Arial" w:cs="Arial"/>
          <w:b/>
          <w:sz w:val="20"/>
        </w:rPr>
        <w:softHyphen/>
        <w:t>czeniu przed zakończeniem podróży zagranicznej</w:t>
      </w:r>
      <w:r w:rsidRPr="00535895">
        <w:rPr>
          <w:rFonts w:ascii="Arial" w:hAnsi="Arial" w:cs="Arial"/>
          <w:bCs/>
          <w:sz w:val="20"/>
        </w:rPr>
        <w:t>;</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 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lastRenderedPageBreak/>
        <w:t>Zakres ubezpieczenia międzynarodowych kosztów leczenia (KL) – „Ubezpieczenie obejmuje ochroną również zdarzenia powstałe podczas wykonywania prac w ramach obowiązków służbowych lub wynikających z zakresu wymiany międzynarodowej” – prosimy o potwierdzenie, że dotyczy wyłącznie pracy umysłowej.</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nie potwierdza. Wyjaśniamy, że obowiązki służbowe nie obejmują wyłącznie pracy umysłowej. Mogą one mieć charakter analogiczny do charakteru czynności wykonywanych w siedzibie Uczelni tj. opieki nad studentami podczas zajęć, udziału w konkursach, w tym opieki trenerskiej w czasie zajęć i zawodów sportowych, udziału w tzw. stażach towarzyszących polegającego na uczeniu poprzez obserwację pracy innych, biernego i czynnego udziału w konferencjach i szkoleniach.&gt;&gt;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 xml:space="preserve">Ubezpieczenie międzynarodowych kosztów leczenia (KL) – prosimy o zmianę zapisu na następujący: „Do wysokości ustalonej sumy ubezpieczenia transport zwłok ubezpieczonego do RP: jeżeli ubezpieczony – wskutek nieszczęśliwego wypadku, nagłego </w:t>
      </w:r>
      <w:r w:rsidRPr="00535895">
        <w:rPr>
          <w:rFonts w:ascii="Arial" w:hAnsi="Arial" w:cs="Arial"/>
          <w:bCs/>
          <w:strike/>
          <w:sz w:val="20"/>
        </w:rPr>
        <w:t>lub przewlekłego</w:t>
      </w:r>
      <w:r w:rsidRPr="00535895">
        <w:rPr>
          <w:rFonts w:ascii="Arial" w:hAnsi="Arial" w:cs="Arial"/>
          <w:bCs/>
          <w:sz w:val="20"/>
        </w:rPr>
        <w:t xml:space="preserve"> zachorowania lub </w:t>
      </w:r>
      <w:r w:rsidRPr="00535895">
        <w:rPr>
          <w:rFonts w:ascii="Arial" w:hAnsi="Arial" w:cs="Arial"/>
          <w:b/>
          <w:sz w:val="20"/>
        </w:rPr>
        <w:t>nagłego zaostrzenia choroby przewlekłej</w:t>
      </w:r>
      <w:r w:rsidRPr="00535895">
        <w:rPr>
          <w:rFonts w:ascii="Arial" w:hAnsi="Arial" w:cs="Arial"/>
          <w:bCs/>
          <w:sz w:val="20"/>
        </w:rPr>
        <w:t xml:space="preserve"> objętego ochroną ubezpieczeniową – zmarł podczas podróży zagranicznej (…)”.</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 Zamawiający  wyraża zgodę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Ubezpieczenie bagażu oraz sprzętu elektronicznego (B) – „Zakres ubezpieczenia winien obejmować utratę, zniszczenie lub uszkodzenie bagażu podróżnego wskutek: a) zdarzeń losowych (…)” – prosimy o doprecyzowanie zapisu poprzez ustalenie zamkniętego katalogu zdarzeń losowych: pożaru, huraganu, powodzi, deszczu nawalnego, gradu, lawiny, bezpośredniego uderzenia pioruna, trzęsienia, zapadania lub osuwania się ziemi.</w:t>
      </w:r>
    </w:p>
    <w:p w:rsidR="00535895" w:rsidRPr="00535895" w:rsidRDefault="00535895" w:rsidP="00535895">
      <w:pPr>
        <w:spacing w:before="120"/>
        <w:ind w:left="426"/>
        <w:jc w:val="both"/>
        <w:rPr>
          <w:rFonts w:ascii="Arial" w:hAnsi="Arial" w:cs="Arial"/>
          <w:bCs/>
          <w:sz w:val="20"/>
        </w:rPr>
      </w:pPr>
      <w:r w:rsidRPr="00535895">
        <w:rPr>
          <w:rFonts w:ascii="Arial" w:hAnsi="Arial" w:cs="Arial"/>
          <w:b/>
          <w:sz w:val="20"/>
        </w:rPr>
        <w:t>Odpowiedź:&lt;&lt;Zamawiający doprecyzowuje, że przez zdarzenia losowe rozumieć należy:</w:t>
      </w:r>
      <w:r w:rsidRPr="00535895">
        <w:rPr>
          <w:rFonts w:ascii="Arial" w:hAnsi="Arial" w:cs="Arial"/>
          <w:bCs/>
          <w:sz w:val="20"/>
        </w:rPr>
        <w:t xml:space="preserve"> </w:t>
      </w:r>
      <w:r w:rsidRPr="00535895">
        <w:rPr>
          <w:rFonts w:ascii="Arial" w:eastAsia="Calibri" w:hAnsi="Arial" w:cs="Arial"/>
          <w:b/>
          <w:sz w:val="20"/>
        </w:rPr>
        <w:t>pożar, uderzenie pioruna, wybuch, huragan, upadek statku powietrznego, powódź, grad, deszcz nawalny, zapadanie lub osuwanie się ziemi, lawina, wydostanie się wody z urządzeń wodno-kanalizacyjnych, wylew wód podziemnych.&gt;&gt;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Ubezpieczenie bagażu oraz sprzętu elektronicznego (B) – „g) opóźnienie w dostarczeniu bagażu podróżnego -  w przypadku opóźnienia dostarczenia bagażu podróżnego o co najmniej 5 godzin Zakład Ubezpieczeń pokryje niezbędne wydatki za zakup przedmiotów, które mają zastąpić przedmioty znajdujące się w prawidłowo nadanym u zawodowego  przewoźnika lotniczego bagażu, począwszy od szóstej godziny opóźnienia do wysokości równowartości w złotych 200 euro” – prosimy o dodanie zapisu „Okres opóźnienia liczy się od chwili zgłoszenia przewoźnikowi opóźnienia w dostarczeniu bagażu i otrzymania dokumentu po</w:t>
      </w:r>
      <w:r w:rsidRPr="00535895">
        <w:rPr>
          <w:rFonts w:ascii="Arial" w:hAnsi="Arial" w:cs="Arial"/>
          <w:bCs/>
          <w:sz w:val="20"/>
        </w:rPr>
        <w:softHyphen/>
        <w:t>twierdzającego to opóźnienie do chwili dostarczenia do miejsca, w którym przebywa Ubezpieczony oraz udostępnienia go Ubezpie</w:t>
      </w:r>
      <w:r w:rsidRPr="00535895">
        <w:rPr>
          <w:rFonts w:ascii="Arial" w:hAnsi="Arial" w:cs="Arial"/>
          <w:bCs/>
          <w:sz w:val="20"/>
        </w:rPr>
        <w:softHyphen/>
        <w:t>czonemu.”. Jednocześnie prosimy o zmianę limitu z 200 euro na 500 zł.</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Odpowiedź:&lt;&lt;Zamawiający nie wyraża zgody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Koszty leczenia stomatologicznego – prosimy o zmianę limitu na 2500 zł.</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nie wyraża zgody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Transport zwłok, koszt kremacji i pogrzebu 300.000,00 PLN - prosimy o wprowadzenie limitu dla kosztów kremacji i pogrzebu w wysokości 6000 zł.</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Odpowiedź:&lt;&lt;Zamawiający nie wyraża zgody na wprowadzenie proponowanej zmiany.&gt;&gt;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Ubezpieczenie Assistance (ASS) – prosimy o wskazanie intencji zapisu: „koszty pomocy finansowej”.</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 Zmianie ulega OPZ do SWZ. W Zadaniu I pkt. V treść : Ubezpieczenie Assistance (ASS) – świadczenia dodatkowej pomocy realizowane zgodnie z zapisami Ogólnych Warunków Ubezpieczenia Wykonawcy obejmujące min. koszty pomocy finansowej, pomoc w przypadku opóźnienia lotu, pomoc w przypadku opóźnienia lotu, pomoc w przypadku kradzieży lub zgubienia dokumentów, koszty organizacji pomocy prawnej, pomoc w organizacji tłumacza, koszty wcześniejszego powrotu do kraju.</w:t>
      </w:r>
    </w:p>
    <w:p w:rsidR="00535895" w:rsidRPr="00535895" w:rsidRDefault="00535895" w:rsidP="00535895">
      <w:pPr>
        <w:spacing w:before="120"/>
        <w:ind w:firstLine="426"/>
        <w:jc w:val="both"/>
        <w:rPr>
          <w:rFonts w:ascii="Arial" w:hAnsi="Arial" w:cs="Arial"/>
          <w:b/>
          <w:sz w:val="20"/>
        </w:rPr>
      </w:pPr>
      <w:r w:rsidRPr="00535895">
        <w:rPr>
          <w:rFonts w:ascii="Arial" w:hAnsi="Arial" w:cs="Arial"/>
          <w:b/>
          <w:sz w:val="20"/>
        </w:rPr>
        <w:lastRenderedPageBreak/>
        <w:t>Zastąpiona zostaje treścią:</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Ubezpieczenie Assistance (ASS) – świadczenia dodatkowej pomocy realizowane zgodnie z zapisami Ogólnych Warunków Ubezpieczenia Wykonawcy obejmujące min. pomoc finansową, pomoc w przypadku opóźnienia lotu, pomoc w przypadku opóźnienia lotu, pomoc w przypadku kradzieży lub zgubienia dokumentów, koszty organizacji pomocy prawnej, pomoc w organizacji tłumacza, koszty wcześniejszego powrotu do kraju.</w:t>
      </w:r>
    </w:p>
    <w:p w:rsidR="00535895" w:rsidRPr="00535895" w:rsidRDefault="00535895" w:rsidP="00535895">
      <w:pPr>
        <w:spacing w:before="120"/>
        <w:ind w:left="426"/>
        <w:jc w:val="both"/>
        <w:rPr>
          <w:rFonts w:ascii="Arial" w:hAnsi="Arial" w:cs="Arial"/>
          <w:bCs/>
          <w:sz w:val="20"/>
        </w:rPr>
      </w:pPr>
      <w:r w:rsidRPr="00535895">
        <w:rPr>
          <w:rFonts w:ascii="Arial" w:hAnsi="Arial" w:cs="Arial"/>
          <w:b/>
          <w:sz w:val="20"/>
        </w:rPr>
        <w:t>Intencją wprowadzonego zapisu jest zapewnienie przez Zakład Ubezpieczeń wsparcia Ubezpieczonego zwrotną pomocą finansową w przypadku, kiedy Ubezpieczony znalazł się w nagłej i nieprzewidzianej sytuacji wymagającej takiego wsparcia.&gt;&gt;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Klauzula daty stempla bankowego – prosimy o potwierdzenie, że chodzi o klauzulę stempla pocztowego. Prosimy tym samym o korektę zapisu w OPZ.</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Odpowiedź:&lt;&lt;Zamawiający potwierdza i informuje, że dopuszcza zamienne stosowanie nazwy klauzuli.&gt;&gt;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Klauzula szkody powstałe w wyniku aktów terrorystycznych – ponieważ brak jest treści klauzuli w OPZ (klauzula nr 1 - Klauzula aktów terroryzmu odnosi się do ubezpieczenia mienia) prosimy o doprecyzowanie poprzez wprowadzenie zapisu: „Ochrona ubezpieczeniowa istnieje w okresie 7 dni od rozpoczęcia działań wojennych lub wprowadzenia stanu wojennego na tery</w:t>
      </w:r>
      <w:r w:rsidRPr="00535895">
        <w:rPr>
          <w:rFonts w:ascii="Arial" w:hAnsi="Arial" w:cs="Arial"/>
          <w:bCs/>
          <w:sz w:val="20"/>
        </w:rPr>
        <w:softHyphen/>
        <w:t>torium kraju, w którym przebywa Ubezpieczony podczas podróży zagranicznej, i obejmuje ich skutki oraz skutki aktów terroryzmu, z wyłączeniem skutków użycia broni atomowej, biologicznej lub chemicznej, jednakże odpowiedzialność Towarzystwa nie istnieje, gdy podróż zagraniczna odbywa się do kraju, na którego teryto</w:t>
      </w:r>
      <w:r w:rsidRPr="00535895">
        <w:rPr>
          <w:rFonts w:ascii="Arial" w:hAnsi="Arial" w:cs="Arial"/>
          <w:bCs/>
          <w:sz w:val="20"/>
        </w:rPr>
        <w:softHyphen/>
        <w:t>rium już trwają działania wojenne lub został wprowadzony stan wojenny. Powyższe wyłączenie odpowiedzialności nie ma zastoso</w:t>
      </w:r>
      <w:r w:rsidRPr="00535895">
        <w:rPr>
          <w:rFonts w:ascii="Arial" w:hAnsi="Arial" w:cs="Arial"/>
          <w:bCs/>
          <w:sz w:val="20"/>
        </w:rPr>
        <w:softHyphen/>
        <w:t>wania, jeśli pomiędzy zdarzeniem a działaniami wojennymi, wpro</w:t>
      </w:r>
      <w:r w:rsidRPr="00535895">
        <w:rPr>
          <w:rFonts w:ascii="Arial" w:hAnsi="Arial" w:cs="Arial"/>
          <w:bCs/>
          <w:sz w:val="20"/>
        </w:rPr>
        <w:softHyphen/>
        <w:t xml:space="preserve">wadzonym stanem wojennym, aktami terroryzmu, z wyłączeniem skutków użycia broni atomowej, biologicznej lub chemicznej, nie zachodzi związek </w:t>
      </w:r>
      <w:proofErr w:type="spellStart"/>
      <w:r w:rsidRPr="00535895">
        <w:rPr>
          <w:rFonts w:ascii="Arial" w:hAnsi="Arial" w:cs="Arial"/>
          <w:bCs/>
          <w:sz w:val="20"/>
        </w:rPr>
        <w:t>przyczynowo-skutkowy</w:t>
      </w:r>
      <w:proofErr w:type="spellEnd"/>
      <w:r w:rsidRPr="00535895">
        <w:rPr>
          <w:rFonts w:ascii="Arial" w:hAnsi="Arial" w:cs="Arial"/>
          <w:bCs/>
          <w:sz w:val="20"/>
        </w:rPr>
        <w:t xml:space="preserve">.”.  </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wyjaśnia, że przez akt terroryzmu należy rozumieć:</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nielegalne działanie lub akcja, które cechuje jednocześnie to, że: są organizowane z pobudek ideologicznych, religijnych, politycznych lub społecznych, są indywidualne lub grupowe, prowadzą je osoby, które działają samodzielnie lub na rzecz bądź z ramienia jakiejkolwiek organizacji lub rządu, są skierowane przeciwko osobom, obiektom lub społeczeństwu, mają na celu wywrzeć wpływ na rząd, wprowadzić chaos, zastraszyć ludność lub zdezorganizować życie publiczne przy użyciu przemocy bądź groźby użycia przemocy. Z ochrony wyłączone są skutki użycia broni atomowej, biologicznej lub chemicznej. Odpowiedzialność Towarzystwa Ubezpieczeń nie zachodzi, gdy podróż zagraniczna odbywa się do kraju, na którego teryto</w:t>
      </w:r>
      <w:r w:rsidRPr="00535895">
        <w:rPr>
          <w:rFonts w:ascii="Arial" w:hAnsi="Arial" w:cs="Arial"/>
          <w:b/>
          <w:sz w:val="20"/>
        </w:rPr>
        <w:softHyphen/>
        <w:t>rium już trwają działania wojenne lub został wprowadzony stan wojenny. Powyższe wyłączenie odpowiedzialności nie ma zastoso</w:t>
      </w:r>
      <w:r w:rsidRPr="00535895">
        <w:rPr>
          <w:rFonts w:ascii="Arial" w:hAnsi="Arial" w:cs="Arial"/>
          <w:b/>
          <w:sz w:val="20"/>
        </w:rPr>
        <w:softHyphen/>
        <w:t>wania, jeśli pomiędzy zdarzeniem a działaniami wojennymi, wpro</w:t>
      </w:r>
      <w:r w:rsidRPr="00535895">
        <w:rPr>
          <w:rFonts w:ascii="Arial" w:hAnsi="Arial" w:cs="Arial"/>
          <w:b/>
          <w:sz w:val="20"/>
        </w:rPr>
        <w:softHyphen/>
        <w:t xml:space="preserve">wadzonym stanem wojennym, aktami terroryzmu, z wyłączeniem skutków użycia broni atomowej, biologicznej lub chemicznej, nie zachodzi związek </w:t>
      </w:r>
      <w:proofErr w:type="spellStart"/>
      <w:r w:rsidRPr="00535895">
        <w:rPr>
          <w:rFonts w:ascii="Arial" w:hAnsi="Arial" w:cs="Arial"/>
          <w:b/>
          <w:sz w:val="20"/>
        </w:rPr>
        <w:t>przyczynowo-skutkowy</w:t>
      </w:r>
      <w:proofErr w:type="spellEnd"/>
      <w:r w:rsidRPr="00535895">
        <w:rPr>
          <w:rFonts w:ascii="Arial" w:hAnsi="Arial" w:cs="Arial"/>
          <w:b/>
          <w:sz w:val="20"/>
        </w:rPr>
        <w:t>.&gt;&gt;</w:t>
      </w: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„Klauzula kosztów wynikających z opóźnienia podróży, odwołania podróży, anulowania noclegu lub biletu podróżnego. Limit odszkodowania 500 Euro na ubezpieczonego” – z uwagi na ogólność zapisu nieprecyzującego zakresu ubezpieczenia w ramach wskazanej klauzuli wnioskujemy o przeniesienie do katalogu klauzul fakultatywnych (lub wykreślenie ponieważ w klauzulach fakultatywnych również została wskazana Klauzula anulowania noclegu oraz biletu bez wskazania jej treści). Opcjonalnie prosimy o wskazanie szczegółowej treści klauzuli.</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Odpowiedź:&lt;&lt; Zmianie ulega treść OPZ do SWZ.</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 xml:space="preserve">W Zadaniu I, punkt 5, </w:t>
      </w:r>
      <w:proofErr w:type="spellStart"/>
      <w:r w:rsidRPr="00535895">
        <w:rPr>
          <w:rFonts w:ascii="Arial" w:hAnsi="Arial" w:cs="Arial"/>
          <w:b/>
          <w:sz w:val="20"/>
        </w:rPr>
        <w:t>ppkt</w:t>
      </w:r>
      <w:proofErr w:type="spellEnd"/>
      <w:r w:rsidRPr="00535895">
        <w:rPr>
          <w:rFonts w:ascii="Arial" w:hAnsi="Arial" w:cs="Arial"/>
          <w:b/>
          <w:sz w:val="20"/>
        </w:rPr>
        <w:t xml:space="preserve"> 9 treść „klauzula kosztów wynikających z opóźnienia podróży, odwołania podróży, anulowania noclegu lub biletu podróżnego. Limit odszkodowania 500 Euro na ubezpieczonego” zastąpiona zostaje treścią:</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lastRenderedPageBreak/>
        <w:t xml:space="preserve">„klauzula kosztów wynikających z opóźnienia podróży. Limit odszkodowania 500 zł. na ubezpieczonego. </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 xml:space="preserve">Szczegółowa treść klauzuli brzmi następująco: </w:t>
      </w:r>
    </w:p>
    <w:p w:rsidR="00535895" w:rsidRPr="00535895" w:rsidRDefault="00535895" w:rsidP="00535895">
      <w:pPr>
        <w:spacing w:before="120"/>
        <w:ind w:left="425"/>
        <w:jc w:val="both"/>
        <w:rPr>
          <w:rFonts w:ascii="Arial" w:hAnsi="Arial" w:cs="Arial"/>
          <w:b/>
          <w:sz w:val="20"/>
        </w:rPr>
      </w:pPr>
      <w:r w:rsidRPr="00535895">
        <w:rPr>
          <w:rFonts w:ascii="Arial" w:eastAsia="Calibri" w:hAnsi="Arial" w:cs="Arial"/>
          <w:b/>
          <w:sz w:val="20"/>
        </w:rPr>
        <w:t>Z zachowaniem pozostałych niezmienionych niniejszą klauzulą postanowień ogólnych warunków ubezpieczenia i innych postanowień umowy  ubezpieczenia,</w:t>
      </w:r>
      <w:r w:rsidRPr="00535895">
        <w:rPr>
          <w:rFonts w:eastAsia="Calibri" w:cs="Arial"/>
          <w:b/>
          <w:sz w:val="20"/>
        </w:rPr>
        <w:t xml:space="preserve"> </w:t>
      </w:r>
      <w:r w:rsidRPr="00535895">
        <w:rPr>
          <w:rFonts w:ascii="Arial" w:hAnsi="Arial" w:cs="Arial"/>
          <w:b/>
          <w:sz w:val="20"/>
        </w:rPr>
        <w:t xml:space="preserve">jeżeli dojdzie do udokumentowanego opóźnienia o co najmniej 5 godzin wylotu samolotu linii rejsowych, odjazdu pociągu lub autokaru linii rejsowych lub wypłynięcia promu, podczas podróży ubezpieczonego w okresie ubezpieczenia, Zakład Ubezpieczeń na podstawie rachunków i dowodów ich zapłaty zwraca ubezpieczonemu koszty poniesione na zakup artykułów pierwszej potrzeby tj. artykułów spożywczych, posiłków, przyborów toaletowych, maksymalnie do kwoty 500 zł. </w:t>
      </w:r>
    </w:p>
    <w:p w:rsidR="00535895" w:rsidRPr="00535895" w:rsidRDefault="00535895" w:rsidP="00535895">
      <w:pPr>
        <w:spacing w:before="120"/>
        <w:jc w:val="both"/>
        <w:rPr>
          <w:rFonts w:ascii="Arial" w:hAnsi="Arial" w:cs="Arial"/>
          <w:b/>
          <w:sz w:val="20"/>
        </w:rPr>
      </w:pP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Jednocześnie Zamawiający informuje, że w Zadaniu I pkt. 6. Punktowane fakultatywne warunki ubezpieczenia szczegółowa treść klauzuli brzmi:</w:t>
      </w: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Klauzula anulowania noclegu i biletu</w:t>
      </w: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 xml:space="preserve">Z zachowaniem pozostałych niezmienionych niniejszą klauzulą postanowień ogólnych warunków ubezpieczenia i innych postanowień umowy przedmiotem ubezpieczenia są poniesione przez Ubezpieczonego uzasadnione okolicznościami oraz udokumentowane koszty: </w:t>
      </w: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 anulowania noclegu w hotelu z przyczyn, za które Ubezpieczony nie ponosi odpowiedzialności;</w:t>
      </w: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 anulowania biletu podróżnego;</w:t>
      </w: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 odwołania podróży rejsowym (rejsowym samolotem, autobusem, pociągiem, statkiem, promem);</w:t>
      </w:r>
    </w:p>
    <w:p w:rsidR="00535895" w:rsidRPr="00535895" w:rsidRDefault="00535895" w:rsidP="00535895">
      <w:pPr>
        <w:spacing w:before="120"/>
        <w:ind w:left="426"/>
        <w:jc w:val="both"/>
        <w:rPr>
          <w:rFonts w:ascii="Arial" w:eastAsia="Calibri" w:hAnsi="Arial" w:cs="Arial"/>
          <w:b/>
          <w:sz w:val="20"/>
        </w:rPr>
      </w:pP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 xml:space="preserve">Koszty anulowania noclegu lub biletu podróżnego zwracane są jeżeli powstały w następstwie następujących zdarzeń: nagłego zachorowania lub nieszczęśliwego wypadku uniemożliwiającego uczestnictwo Ubezpieczonego w podróży wymagającego leczenia szpitalnego przez okres nie krótszy niż 7 dni, śmierci Ubezpieczonego, nagłego zachorowania lub nieszczęśliwego wypadku </w:t>
      </w:r>
      <w:proofErr w:type="spellStart"/>
      <w:r w:rsidRPr="00535895">
        <w:rPr>
          <w:rFonts w:ascii="Arial" w:eastAsia="Calibri" w:hAnsi="Arial" w:cs="Arial"/>
          <w:b/>
          <w:sz w:val="20"/>
        </w:rPr>
        <w:t>wypadku</w:t>
      </w:r>
      <w:proofErr w:type="spellEnd"/>
      <w:r w:rsidRPr="00535895">
        <w:rPr>
          <w:rFonts w:ascii="Arial" w:eastAsia="Calibri" w:hAnsi="Arial" w:cs="Arial"/>
          <w:b/>
          <w:sz w:val="20"/>
        </w:rPr>
        <w:t xml:space="preserve"> osoby bliskiej – wymagającego obecności i stałej opieki sprawowanej przez Ubezpieczonego nad tą osobą, pod warunkiem, że inna osoba dorosła zamieszkująca w gospodarstwie domowym nie może sprawować opieki, śmierci osoby bliskiej, przestępstwa popełnionego przez osoby trzecie na szkodę Ubezpieczonego, zdarzeń których skutki dotknęły bezpośrednio mienie Ubezpieczonego tj. włamanie, pożar, uderzenie pioruna, wybuch, huragan, upadek statku powietrznego, powódź, grad, deszcz nawalny, zapadanie lub osuwanie się ziemi, lawina, wydostanie się wody z urządzeń wodno-kanalizacyjnych, wylew wód podziemnych  - powodując konieczność dokonania czynności faktycznych i prawnych mających na celu usunięcie skutków tych zdarzeń, udokumentowanej kradzieży lub utraty dokumentów podróży, pod warunkiem, że kradzież lub utrata miała miejsce w okresie 30 dni poprzedzających podróż i została zgłoszona odpowiednim organom. Przyczyna anulowania biletu musi być udokumentowana stosownymi dokumentami np. zaświadczeniem lekarskim lub zaświadczeniem z policji. </w:t>
      </w:r>
    </w:p>
    <w:p w:rsidR="00535895" w:rsidRPr="00535895" w:rsidRDefault="00535895" w:rsidP="00535895">
      <w:pPr>
        <w:spacing w:before="120"/>
        <w:ind w:left="426"/>
        <w:jc w:val="both"/>
        <w:rPr>
          <w:rFonts w:ascii="Arial" w:eastAsia="Calibri" w:hAnsi="Arial" w:cs="Arial"/>
          <w:b/>
          <w:sz w:val="20"/>
        </w:rPr>
      </w:pPr>
      <w:r w:rsidRPr="00535895">
        <w:rPr>
          <w:rFonts w:ascii="Arial" w:eastAsia="Calibri" w:hAnsi="Arial" w:cs="Arial"/>
          <w:b/>
          <w:sz w:val="20"/>
        </w:rPr>
        <w:t>Koszty związane z odwołaniem podróży są zwracane pod warunkiem, że podróży spowodowane było trudnymi warunkami atmosferycznymi, strajkami pracowników przewoźnika lub obsługi portu lub dworca lub usterkami środka transportu, na który Ubezpieczony posiadał ważny bilet podróżny.</w:t>
      </w:r>
    </w:p>
    <w:p w:rsidR="00535895" w:rsidRPr="00535895" w:rsidRDefault="00535895" w:rsidP="00535895">
      <w:pPr>
        <w:spacing w:before="120"/>
        <w:ind w:left="426"/>
        <w:jc w:val="both"/>
        <w:rPr>
          <w:rFonts w:ascii="Arial" w:hAnsi="Arial" w:cs="Arial"/>
          <w:bCs/>
          <w:sz w:val="20"/>
        </w:rPr>
      </w:pPr>
      <w:r w:rsidRPr="00535895">
        <w:rPr>
          <w:rFonts w:ascii="Arial" w:eastAsia="Calibri" w:hAnsi="Arial" w:cs="Arial"/>
          <w:b/>
          <w:sz w:val="20"/>
        </w:rPr>
        <w:t>Limit kosztów wynosi 500 euro na ubezpieczonego.&gt;&gt;</w:t>
      </w:r>
    </w:p>
    <w:p w:rsidR="00535895" w:rsidRPr="00535895" w:rsidRDefault="00535895" w:rsidP="00535895">
      <w:pPr>
        <w:spacing w:before="120"/>
        <w:ind w:left="426"/>
        <w:jc w:val="both"/>
        <w:rPr>
          <w:rFonts w:ascii="Arial" w:hAnsi="Arial" w:cs="Arial"/>
          <w:bCs/>
          <w:sz w:val="20"/>
        </w:rPr>
      </w:pP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
          <w:bCs/>
          <w:sz w:val="20"/>
        </w:rPr>
        <w:t>„</w:t>
      </w:r>
      <w:r w:rsidRPr="00535895">
        <w:rPr>
          <w:rFonts w:ascii="Arial" w:hAnsi="Arial" w:cs="Arial"/>
          <w:sz w:val="20"/>
        </w:rPr>
        <w:t>Koszty rekonwalescencji w miejscu zdarzenia za granicą – limit odpowiedzialności 100 euro przypadający na ubezpieczonego” - prosimy o dodanie zastrzeżenia, że dotyczy to pokrycia kosztów wyżywienia i zakwaterowania Ubezpieczonego za gra</w:t>
      </w:r>
      <w:r w:rsidRPr="00535895">
        <w:rPr>
          <w:rFonts w:ascii="Arial" w:hAnsi="Arial" w:cs="Arial"/>
          <w:sz w:val="20"/>
        </w:rPr>
        <w:softHyphen/>
        <w:t>nicą w celu rekonwalescencji.</w:t>
      </w:r>
      <w:r w:rsidRPr="00535895">
        <w:rPr>
          <w:rFonts w:ascii="Arial" w:hAnsi="Arial" w:cs="Arial"/>
          <w:b/>
          <w:bCs/>
          <w:sz w:val="20"/>
        </w:rPr>
        <w:t xml:space="preserve"> </w:t>
      </w:r>
      <w:r w:rsidRPr="00535895">
        <w:rPr>
          <w:rFonts w:ascii="Arial" w:hAnsi="Arial" w:cs="Arial"/>
          <w:bCs/>
          <w:sz w:val="20"/>
        </w:rPr>
        <w:t>Jeżeli Towarzystwo pokrywa koszty pobytu Ubezpieczonego w szpi</w:t>
      </w:r>
      <w:r w:rsidRPr="00535895">
        <w:rPr>
          <w:rFonts w:ascii="Arial" w:hAnsi="Arial" w:cs="Arial"/>
          <w:bCs/>
          <w:sz w:val="20"/>
        </w:rPr>
        <w:softHyphen/>
        <w:t>talu, powstałe w związku z nieszczęśliwym wypadkiem lub nagłym zachorowaniem, a transport Ubezpieczonego do Polski lub kraju rezydencji nie może nastąpić bezpośrednio po zakończeniu pobytu w szpitalu, to dodatkowo pokrywane są koszty wyżywienia i za</w:t>
      </w:r>
      <w:r w:rsidRPr="00535895">
        <w:rPr>
          <w:rFonts w:ascii="Arial" w:hAnsi="Arial" w:cs="Arial"/>
          <w:bCs/>
          <w:sz w:val="20"/>
        </w:rPr>
        <w:softHyphen/>
        <w:t xml:space="preserve">kwaterowania Ubezpieczonego za granicą w celu rekonwalescencji, zgodnie z pisemnym zaleceniem lekarza prowadzącego leczenie. </w:t>
      </w:r>
    </w:p>
    <w:p w:rsidR="00535895" w:rsidRPr="00535895" w:rsidRDefault="00535895" w:rsidP="00535895">
      <w:pPr>
        <w:spacing w:before="120"/>
        <w:ind w:left="426"/>
        <w:jc w:val="both"/>
        <w:rPr>
          <w:rFonts w:ascii="Arial" w:hAnsi="Arial" w:cs="Arial"/>
          <w:bCs/>
          <w:sz w:val="20"/>
        </w:rPr>
      </w:pP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wyraża zgodę na wprowadzenie proponowanej zmiany.&gt;&gt;</w:t>
      </w:r>
    </w:p>
    <w:p w:rsidR="00535895" w:rsidRPr="00535895" w:rsidRDefault="00535895" w:rsidP="00535895">
      <w:pPr>
        <w:spacing w:before="120"/>
        <w:ind w:left="426"/>
        <w:jc w:val="both"/>
        <w:rPr>
          <w:rFonts w:ascii="Arial" w:hAnsi="Arial" w:cs="Arial"/>
          <w:bCs/>
          <w:sz w:val="20"/>
        </w:rPr>
      </w:pP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Klauzula kontynuacji leczenia na terenie RP – prosimy o zmianę limitu na 500 zł.</w:t>
      </w:r>
    </w:p>
    <w:p w:rsidR="00535895" w:rsidRPr="00535895" w:rsidRDefault="00535895" w:rsidP="00535895">
      <w:pPr>
        <w:ind w:left="708"/>
        <w:rPr>
          <w:rFonts w:ascii="Arial" w:hAnsi="Arial" w:cs="Arial"/>
          <w:bCs/>
          <w:sz w:val="20"/>
        </w:rPr>
      </w:pP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nie wyraża zgody na wprowadzenie proponowanej zmiany.&gt;&gt;</w:t>
      </w:r>
    </w:p>
    <w:p w:rsidR="00535895" w:rsidRPr="00535895" w:rsidRDefault="00535895" w:rsidP="00535895">
      <w:pPr>
        <w:spacing w:before="120"/>
        <w:ind w:left="426"/>
        <w:jc w:val="both"/>
        <w:rPr>
          <w:rFonts w:ascii="Arial" w:hAnsi="Arial" w:cs="Arial"/>
          <w:bCs/>
          <w:sz w:val="20"/>
        </w:rPr>
      </w:pPr>
    </w:p>
    <w:p w:rsidR="00535895" w:rsidRPr="00535895" w:rsidRDefault="00535895" w:rsidP="00535895">
      <w:pPr>
        <w:numPr>
          <w:ilvl w:val="0"/>
          <w:numId w:val="38"/>
        </w:numPr>
        <w:spacing w:before="120"/>
        <w:ind w:left="426" w:hanging="426"/>
        <w:jc w:val="both"/>
        <w:rPr>
          <w:rFonts w:ascii="Arial" w:hAnsi="Arial" w:cs="Arial"/>
          <w:bCs/>
          <w:sz w:val="20"/>
        </w:rPr>
      </w:pPr>
      <w:r w:rsidRPr="00535895">
        <w:rPr>
          <w:rFonts w:ascii="Arial" w:hAnsi="Arial" w:cs="Arial"/>
          <w:bCs/>
          <w:sz w:val="20"/>
        </w:rPr>
        <w:t>Prosimy o wprowadzenie dodatkowego zapisu: „W przypadku zdarzenia Ubezpieczający ma obowiązek potwierdzić - na prośbę Ubezpieczyciela lub Centrum Alarmowego obsługującego zgłoszenie – objęcie ochroną ubezpieczeniową danej osoby.”</w:t>
      </w:r>
    </w:p>
    <w:p w:rsidR="00535895" w:rsidRPr="00535895" w:rsidRDefault="00535895" w:rsidP="00535895">
      <w:pPr>
        <w:ind w:left="708"/>
        <w:rPr>
          <w:rFonts w:ascii="Arial" w:hAnsi="Arial" w:cs="Arial"/>
          <w:bCs/>
          <w:sz w:val="20"/>
        </w:rPr>
      </w:pPr>
    </w:p>
    <w:p w:rsidR="00535895" w:rsidRPr="00535895" w:rsidRDefault="00535895" w:rsidP="00535895">
      <w:pPr>
        <w:spacing w:before="120"/>
        <w:ind w:left="426"/>
        <w:jc w:val="both"/>
        <w:rPr>
          <w:rFonts w:ascii="Arial" w:hAnsi="Arial" w:cs="Arial"/>
          <w:b/>
          <w:sz w:val="20"/>
        </w:rPr>
      </w:pPr>
      <w:r w:rsidRPr="00535895">
        <w:rPr>
          <w:rFonts w:ascii="Arial" w:hAnsi="Arial" w:cs="Arial"/>
          <w:b/>
          <w:sz w:val="20"/>
        </w:rPr>
        <w:t>Odpowiedź: &lt;&lt;Zamawiający wyrażą zgodę na wprowadzenie proponowanej zmiany.&gt;&gt;</w:t>
      </w:r>
    </w:p>
    <w:p w:rsidR="00535895" w:rsidRPr="00535895" w:rsidRDefault="00535895" w:rsidP="00535895">
      <w:pPr>
        <w:spacing w:before="120"/>
        <w:ind w:left="426"/>
        <w:jc w:val="both"/>
        <w:rPr>
          <w:rFonts w:ascii="Arial" w:hAnsi="Arial" w:cs="Arial"/>
          <w:bCs/>
          <w:sz w:val="20"/>
        </w:rPr>
      </w:pPr>
    </w:p>
    <w:p w:rsidR="00F93D80" w:rsidRPr="00C77574" w:rsidRDefault="00F93D80" w:rsidP="005C119F">
      <w:pPr>
        <w:shd w:val="clear" w:color="auto" w:fill="FFFFFF"/>
        <w:spacing w:line="276" w:lineRule="auto"/>
        <w:jc w:val="both"/>
        <w:rPr>
          <w:rFonts w:ascii="Calibri" w:hAnsi="Calibri" w:cs="Calibri"/>
          <w:color w:val="212121"/>
          <w:sz w:val="22"/>
          <w:szCs w:val="22"/>
        </w:rPr>
      </w:pPr>
      <w:bookmarkStart w:id="0" w:name="_GoBack"/>
      <w:bookmarkEnd w:id="0"/>
    </w:p>
    <w:sectPr w:rsidR="00F93D80" w:rsidRPr="00C77574" w:rsidSect="00CA6B8A">
      <w:headerReference w:type="default" r:id="rId8"/>
      <w:footerReference w:type="even" r:id="rId9"/>
      <w:footerReference w:type="default" r:id="rId10"/>
      <w:pgSz w:w="11907" w:h="16840" w:code="9"/>
      <w:pgMar w:top="1985" w:right="1842" w:bottom="2127" w:left="1134" w:header="284"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A8B" w:rsidRDefault="00B96A8B" w:rsidP="009D24B6">
      <w:r>
        <w:separator/>
      </w:r>
    </w:p>
  </w:endnote>
  <w:endnote w:type="continuationSeparator" w:id="0">
    <w:p w:rsidR="00B96A8B" w:rsidRDefault="00B96A8B" w:rsidP="009D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A8B" w:rsidRDefault="00B96A8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96A8B" w:rsidRDefault="00B96A8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A8B" w:rsidRDefault="00B96A8B">
    <w:pPr>
      <w:pStyle w:val="Stopka"/>
      <w:framePr w:wrap="around" w:vAnchor="text" w:hAnchor="margin" w:xAlign="right" w:y="1"/>
      <w:rPr>
        <w:rStyle w:val="Numerstrony"/>
      </w:rPr>
    </w:pPr>
  </w:p>
  <w:p w:rsidR="00B96A8B" w:rsidRDefault="00B96A8B" w:rsidP="00FD6D8F">
    <w:pPr>
      <w:pStyle w:val="Stopka"/>
      <w:jc w:val="center"/>
      <w:rPr>
        <w:rFonts w:cs="Calibri"/>
        <w:i/>
        <w:sz w:val="16"/>
        <w:szCs w:val="16"/>
        <w:lang w:val="pl-PL"/>
      </w:rPr>
    </w:pPr>
  </w:p>
  <w:p w:rsidR="00B96A8B" w:rsidRDefault="00B96A8B" w:rsidP="00FD6D8F">
    <w:pPr>
      <w:pStyle w:val="Stopka"/>
      <w:tabs>
        <w:tab w:val="clear" w:pos="4536"/>
        <w:tab w:val="clear" w:pos="9072"/>
        <w:tab w:val="left" w:pos="7562"/>
      </w:tabs>
      <w:rPr>
        <w:rFonts w:ascii="Arial" w:hAnsi="Arial" w:cs="Arial"/>
        <w:i/>
        <w:color w:val="000000"/>
        <w:sz w:val="16"/>
        <w:szCs w:val="16"/>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A8B" w:rsidRDefault="00B96A8B" w:rsidP="009D24B6">
      <w:r>
        <w:separator/>
      </w:r>
    </w:p>
  </w:footnote>
  <w:footnote w:type="continuationSeparator" w:id="0">
    <w:p w:rsidR="00B96A8B" w:rsidRDefault="00B96A8B" w:rsidP="009D2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A8B" w:rsidRPr="009C4CE9" w:rsidRDefault="00B96A8B">
    <w:pPr>
      <w:pStyle w:val="Nagwek"/>
      <w:rPr>
        <w:lang w:val="pl-PL"/>
      </w:rPr>
    </w:pPr>
    <w:r>
      <w:rPr>
        <w:noProof/>
        <w:lang w:val="pl-PL" w:eastAsia="pl-PL"/>
      </w:rPr>
      <w:drawing>
        <wp:anchor distT="0" distB="0" distL="114300" distR="114300" simplePos="0" relativeHeight="251657728" behindDoc="1" locked="0" layoutInCell="1" allowOverlap="1">
          <wp:simplePos x="0" y="0"/>
          <wp:positionH relativeFrom="page">
            <wp:posOffset>17145</wp:posOffset>
          </wp:positionH>
          <wp:positionV relativeFrom="paragraph">
            <wp:posOffset>34925</wp:posOffset>
          </wp:positionV>
          <wp:extent cx="8035925" cy="1604645"/>
          <wp:effectExtent l="0" t="0" r="3175" b="0"/>
          <wp:wrapNone/>
          <wp:docPr id="9"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592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7D480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952A03C4"/>
    <w:name w:val="WW8Num10"/>
    <w:lvl w:ilvl="0">
      <w:start w:val="1"/>
      <w:numFmt w:val="decimal"/>
      <w:lvlText w:val="%1."/>
      <w:lvlJc w:val="left"/>
      <w:pPr>
        <w:tabs>
          <w:tab w:val="num" w:pos="0"/>
        </w:tabs>
        <w:ind w:left="720" w:hanging="360"/>
      </w:pPr>
      <w:rPr>
        <w:rFonts w:ascii="Calibri" w:hAnsi="Calibri" w:cs="Times New Roman" w:hint="default"/>
      </w:rPr>
    </w:lvl>
  </w:abstractNum>
  <w:abstractNum w:abstractNumId="2"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21E73F6"/>
    <w:multiLevelType w:val="singleLevel"/>
    <w:tmpl w:val="04150017"/>
    <w:lvl w:ilvl="0">
      <w:start w:val="1"/>
      <w:numFmt w:val="lowerLetter"/>
      <w:lvlText w:val="%1)"/>
      <w:lvlJc w:val="left"/>
      <w:pPr>
        <w:ind w:left="1820" w:hanging="360"/>
      </w:pPr>
      <w:rPr>
        <w:rFonts w:cs="Times New Roman"/>
      </w:rPr>
    </w:lvl>
  </w:abstractNum>
  <w:abstractNum w:abstractNumId="5" w15:restartNumberingAfterBreak="0">
    <w:nsid w:val="0249696E"/>
    <w:multiLevelType w:val="hybridMultilevel"/>
    <w:tmpl w:val="4CB4E978"/>
    <w:lvl w:ilvl="0" w:tplc="0415000F">
      <w:start w:val="1"/>
      <w:numFmt w:val="decimal"/>
      <w:lvlText w:val="%1."/>
      <w:lvlJc w:val="left"/>
      <w:pPr>
        <w:ind w:left="2204" w:hanging="360"/>
      </w:pPr>
      <w:rPr>
        <w:rFonts w:hint="default"/>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6" w15:restartNumberingAfterBreak="0">
    <w:nsid w:val="07894B98"/>
    <w:multiLevelType w:val="hybridMultilevel"/>
    <w:tmpl w:val="511E5FB0"/>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44562B"/>
    <w:multiLevelType w:val="hybridMultilevel"/>
    <w:tmpl w:val="C632F2D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A85D74"/>
    <w:multiLevelType w:val="hybridMultilevel"/>
    <w:tmpl w:val="0C80EC8E"/>
    <w:lvl w:ilvl="0" w:tplc="C2E8C0C0">
      <w:start w:val="1"/>
      <w:numFmt w:val="decimal"/>
      <w:lvlText w:val="Pytanie %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0365E7"/>
    <w:multiLevelType w:val="hybridMultilevel"/>
    <w:tmpl w:val="F5E4C91A"/>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5E705EC"/>
    <w:multiLevelType w:val="hybridMultilevel"/>
    <w:tmpl w:val="E4D0807A"/>
    <w:lvl w:ilvl="0" w:tplc="C878326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F86A6E"/>
    <w:multiLevelType w:val="multilevel"/>
    <w:tmpl w:val="913C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AF7B8E"/>
    <w:multiLevelType w:val="hybridMultilevel"/>
    <w:tmpl w:val="B6B0370A"/>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A25BD0"/>
    <w:multiLevelType w:val="hybridMultilevel"/>
    <w:tmpl w:val="81D405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C92DE3"/>
    <w:multiLevelType w:val="hybridMultilevel"/>
    <w:tmpl w:val="48A43A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26A6521"/>
    <w:multiLevelType w:val="hybridMultilevel"/>
    <w:tmpl w:val="6D32715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9857B8"/>
    <w:multiLevelType w:val="hybridMultilevel"/>
    <w:tmpl w:val="CEAE9FBA"/>
    <w:lvl w:ilvl="0" w:tplc="20E8C4CA">
      <w:start w:val="1"/>
      <w:numFmt w:val="decimal"/>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1CA6CC">
      <w:start w:val="1"/>
      <w:numFmt w:val="decimal"/>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B03F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4AB4E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B01D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383BB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28CBC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83C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94F1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6036D1A"/>
    <w:multiLevelType w:val="singleLevel"/>
    <w:tmpl w:val="BC20B7B0"/>
    <w:lvl w:ilvl="0">
      <w:start w:val="1"/>
      <w:numFmt w:val="decimal"/>
      <w:lvlText w:val="%1."/>
      <w:lvlJc w:val="left"/>
      <w:pPr>
        <w:tabs>
          <w:tab w:val="num" w:pos="420"/>
        </w:tabs>
        <w:ind w:left="420" w:hanging="420"/>
      </w:pPr>
      <w:rPr>
        <w:rFonts w:cs="Times New Roman" w:hint="default"/>
      </w:rPr>
    </w:lvl>
  </w:abstractNum>
  <w:abstractNum w:abstractNumId="18" w15:restartNumberingAfterBreak="0">
    <w:nsid w:val="28AE4BFB"/>
    <w:multiLevelType w:val="hybridMultilevel"/>
    <w:tmpl w:val="F866F072"/>
    <w:lvl w:ilvl="0" w:tplc="C9C6566E">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CFB5CA4"/>
    <w:multiLevelType w:val="hybridMultilevel"/>
    <w:tmpl w:val="FF0C0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6065C9"/>
    <w:multiLevelType w:val="hybridMultilevel"/>
    <w:tmpl w:val="07860292"/>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ED4EAD"/>
    <w:multiLevelType w:val="hybridMultilevel"/>
    <w:tmpl w:val="1A34A4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64F2CA0"/>
    <w:multiLevelType w:val="hybridMultilevel"/>
    <w:tmpl w:val="1A34A4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143A7A"/>
    <w:multiLevelType w:val="hybridMultilevel"/>
    <w:tmpl w:val="10283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384AF5"/>
    <w:multiLevelType w:val="hybridMultilevel"/>
    <w:tmpl w:val="77429DAE"/>
    <w:lvl w:ilvl="0" w:tplc="A9465A4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27" w15:restartNumberingAfterBreak="0">
    <w:nsid w:val="54D06862"/>
    <w:multiLevelType w:val="hybridMultilevel"/>
    <w:tmpl w:val="E45E6FAC"/>
    <w:lvl w:ilvl="0" w:tplc="77FEB9D0">
      <w:start w:val="1"/>
      <w:numFmt w:val="upperRoman"/>
      <w:lvlText w:val="%1)"/>
      <w:lvlJc w:val="left"/>
      <w:pPr>
        <w:ind w:left="720" w:hanging="360"/>
      </w:pPr>
      <w:rPr>
        <w:rFonts w:ascii="Calibri Light" w:eastAsia="Arial" w:hAnsi="Calibri Light" w:cs="Calibri Ligh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8A4418E"/>
    <w:multiLevelType w:val="hybridMultilevel"/>
    <w:tmpl w:val="0A223494"/>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B6E52E4"/>
    <w:multiLevelType w:val="hybridMultilevel"/>
    <w:tmpl w:val="62DC02F4"/>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5CBA167B"/>
    <w:multiLevelType w:val="hybridMultilevel"/>
    <w:tmpl w:val="417E14B6"/>
    <w:lvl w:ilvl="0" w:tplc="6658A7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D392477"/>
    <w:multiLevelType w:val="hybridMultilevel"/>
    <w:tmpl w:val="B204D1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1C354C"/>
    <w:multiLevelType w:val="hybridMultilevel"/>
    <w:tmpl w:val="BB5E74CC"/>
    <w:lvl w:ilvl="0" w:tplc="25081F4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E6D0860"/>
    <w:multiLevelType w:val="hybridMultilevel"/>
    <w:tmpl w:val="E9562BA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F1C5C7E"/>
    <w:multiLevelType w:val="singleLevel"/>
    <w:tmpl w:val="04150017"/>
    <w:lvl w:ilvl="0">
      <w:start w:val="1"/>
      <w:numFmt w:val="lowerLetter"/>
      <w:lvlText w:val="%1)"/>
      <w:lvlJc w:val="left"/>
      <w:pPr>
        <w:ind w:left="1820" w:hanging="360"/>
      </w:pPr>
      <w:rPr>
        <w:rFonts w:cs="Times New Roman"/>
      </w:rPr>
    </w:lvl>
  </w:abstractNum>
  <w:abstractNum w:abstractNumId="35" w15:restartNumberingAfterBreak="0">
    <w:nsid w:val="7B5F50A7"/>
    <w:multiLevelType w:val="hybridMultilevel"/>
    <w:tmpl w:val="30D82CD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7C006216"/>
    <w:multiLevelType w:val="hybridMultilevel"/>
    <w:tmpl w:val="E3B4F8A2"/>
    <w:lvl w:ilvl="0" w:tplc="1B1AF2AA">
      <w:start w:val="1"/>
      <w:numFmt w:val="decimal"/>
      <w:lvlText w:val="%1."/>
      <w:lvlJc w:val="left"/>
      <w:pPr>
        <w:tabs>
          <w:tab w:val="num" w:pos="360"/>
        </w:tabs>
        <w:ind w:left="360" w:hanging="360"/>
      </w:pPr>
      <w:rPr>
        <w:rFonts w:ascii="Calibri" w:hAnsi="Calibri" w:cs="Calibri"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D324579"/>
    <w:multiLevelType w:val="hybridMultilevel"/>
    <w:tmpl w:val="2B4ECDB0"/>
    <w:lvl w:ilvl="0" w:tplc="5D422328">
      <w:start w:val="1"/>
      <w:numFmt w:val="decimal"/>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7"/>
  </w:num>
  <w:num w:numId="2">
    <w:abstractNumId w:val="13"/>
  </w:num>
  <w:num w:numId="3">
    <w:abstractNumId w:val="0"/>
  </w:num>
  <w:num w:numId="4">
    <w:abstractNumId w:val="33"/>
  </w:num>
  <w:num w:numId="5">
    <w:abstractNumId w:val="37"/>
  </w:num>
  <w:num w:numId="6">
    <w:abstractNumId w:val="10"/>
  </w:num>
  <w:num w:numId="7">
    <w:abstractNumId w:val="15"/>
  </w:num>
  <w:num w:numId="8">
    <w:abstractNumId w:val="23"/>
  </w:num>
  <w:num w:numId="9">
    <w:abstractNumId w:val="21"/>
  </w:num>
  <w:num w:numId="10">
    <w:abstractNumId w:val="9"/>
  </w:num>
  <w:num w:numId="11">
    <w:abstractNumId w:val="30"/>
  </w:num>
  <w:num w:numId="12">
    <w:abstractNumId w:val="29"/>
  </w:num>
  <w:num w:numId="13">
    <w:abstractNumId w:val="34"/>
  </w:num>
  <w:num w:numId="14">
    <w:abstractNumId w:val="27"/>
  </w:num>
  <w:num w:numId="15">
    <w:abstractNumId w:val="4"/>
  </w:num>
  <w:num w:numId="16">
    <w:abstractNumId w:val="8"/>
  </w:num>
  <w:num w:numId="17">
    <w:abstractNumId w:val="24"/>
  </w:num>
  <w:num w:numId="18">
    <w:abstractNumId w:val="22"/>
  </w:num>
  <w:num w:numId="19">
    <w:abstractNumId w:val="3"/>
  </w:num>
  <w:num w:numId="20">
    <w:abstractNumId w:val="16"/>
  </w:num>
  <w:num w:numId="21">
    <w:abstractNumId w:val="11"/>
  </w:num>
  <w:num w:numId="22">
    <w:abstractNumId w:val="1"/>
  </w:num>
  <w:num w:numId="23">
    <w:abstractNumId w:val="19"/>
  </w:num>
  <w:num w:numId="24">
    <w:abstractNumId w:val="28"/>
  </w:num>
  <w:num w:numId="25">
    <w:abstractNumId w:val="36"/>
  </w:num>
  <w:num w:numId="26">
    <w:abstractNumId w:val="6"/>
  </w:num>
  <w:num w:numId="27">
    <w:abstractNumId w:val="5"/>
  </w:num>
  <w:num w:numId="28">
    <w:abstractNumId w:val="26"/>
  </w:num>
  <w:num w:numId="29">
    <w:abstractNumId w:val="25"/>
  </w:num>
  <w:num w:numId="30">
    <w:abstractNumId w:val="2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2"/>
  </w:num>
  <w:num w:numId="35">
    <w:abstractNumId w:val="7"/>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858"/>
    <w:rsid w:val="000064E0"/>
    <w:rsid w:val="00006BB8"/>
    <w:rsid w:val="000102EB"/>
    <w:rsid w:val="00010818"/>
    <w:rsid w:val="0001143F"/>
    <w:rsid w:val="00013649"/>
    <w:rsid w:val="00025278"/>
    <w:rsid w:val="0004193E"/>
    <w:rsid w:val="00047084"/>
    <w:rsid w:val="00047195"/>
    <w:rsid w:val="000528EA"/>
    <w:rsid w:val="000570B1"/>
    <w:rsid w:val="00057F72"/>
    <w:rsid w:val="0006200A"/>
    <w:rsid w:val="00070B43"/>
    <w:rsid w:val="000803DF"/>
    <w:rsid w:val="000879A2"/>
    <w:rsid w:val="000923ED"/>
    <w:rsid w:val="000A0585"/>
    <w:rsid w:val="000A34A1"/>
    <w:rsid w:val="000A492A"/>
    <w:rsid w:val="000A4F02"/>
    <w:rsid w:val="000A64F1"/>
    <w:rsid w:val="000B0B66"/>
    <w:rsid w:val="000B26B2"/>
    <w:rsid w:val="000B29F1"/>
    <w:rsid w:val="000B3EB9"/>
    <w:rsid w:val="000B6C96"/>
    <w:rsid w:val="000D131C"/>
    <w:rsid w:val="000D37AD"/>
    <w:rsid w:val="000F1B9C"/>
    <w:rsid w:val="000F1E7C"/>
    <w:rsid w:val="000F22D5"/>
    <w:rsid w:val="000F278D"/>
    <w:rsid w:val="000F3C1F"/>
    <w:rsid w:val="000F7865"/>
    <w:rsid w:val="00107193"/>
    <w:rsid w:val="00107974"/>
    <w:rsid w:val="00113AE3"/>
    <w:rsid w:val="0011506A"/>
    <w:rsid w:val="00124D5F"/>
    <w:rsid w:val="001269D2"/>
    <w:rsid w:val="00127DBC"/>
    <w:rsid w:val="00132EFF"/>
    <w:rsid w:val="00135B04"/>
    <w:rsid w:val="00135C73"/>
    <w:rsid w:val="00136270"/>
    <w:rsid w:val="00140EEF"/>
    <w:rsid w:val="001420D3"/>
    <w:rsid w:val="00146937"/>
    <w:rsid w:val="001527C6"/>
    <w:rsid w:val="00152FF2"/>
    <w:rsid w:val="00153A8E"/>
    <w:rsid w:val="001579C9"/>
    <w:rsid w:val="001607D0"/>
    <w:rsid w:val="00174848"/>
    <w:rsid w:val="0017632D"/>
    <w:rsid w:val="0018472F"/>
    <w:rsid w:val="001A23D8"/>
    <w:rsid w:val="001A6CD7"/>
    <w:rsid w:val="001B46E8"/>
    <w:rsid w:val="001B6CC2"/>
    <w:rsid w:val="001C0160"/>
    <w:rsid w:val="001C07BF"/>
    <w:rsid w:val="001C236D"/>
    <w:rsid w:val="001C6512"/>
    <w:rsid w:val="001C7710"/>
    <w:rsid w:val="001D0B90"/>
    <w:rsid w:val="001D37F1"/>
    <w:rsid w:val="001E250E"/>
    <w:rsid w:val="001E58AF"/>
    <w:rsid w:val="001E608E"/>
    <w:rsid w:val="001E67C5"/>
    <w:rsid w:val="001E697D"/>
    <w:rsid w:val="001E772B"/>
    <w:rsid w:val="001F432C"/>
    <w:rsid w:val="00202B13"/>
    <w:rsid w:val="00206460"/>
    <w:rsid w:val="00206D75"/>
    <w:rsid w:val="0021246E"/>
    <w:rsid w:val="002131EC"/>
    <w:rsid w:val="00214947"/>
    <w:rsid w:val="00215386"/>
    <w:rsid w:val="002156B1"/>
    <w:rsid w:val="002169BC"/>
    <w:rsid w:val="00222461"/>
    <w:rsid w:val="00227002"/>
    <w:rsid w:val="002271D2"/>
    <w:rsid w:val="00234A3B"/>
    <w:rsid w:val="00235628"/>
    <w:rsid w:val="00237164"/>
    <w:rsid w:val="00252BF7"/>
    <w:rsid w:val="00253171"/>
    <w:rsid w:val="00255164"/>
    <w:rsid w:val="0026171C"/>
    <w:rsid w:val="002627B6"/>
    <w:rsid w:val="00264440"/>
    <w:rsid w:val="0027129B"/>
    <w:rsid w:val="0027796E"/>
    <w:rsid w:val="00280630"/>
    <w:rsid w:val="0028240D"/>
    <w:rsid w:val="002847A2"/>
    <w:rsid w:val="00285810"/>
    <w:rsid w:val="0029717E"/>
    <w:rsid w:val="00297E33"/>
    <w:rsid w:val="002A1DDD"/>
    <w:rsid w:val="002A2B0A"/>
    <w:rsid w:val="002A49AF"/>
    <w:rsid w:val="002A7E3C"/>
    <w:rsid w:val="002B55B5"/>
    <w:rsid w:val="002C73C5"/>
    <w:rsid w:val="002C7D1C"/>
    <w:rsid w:val="002D2001"/>
    <w:rsid w:val="002D3CE3"/>
    <w:rsid w:val="002E133E"/>
    <w:rsid w:val="002E6502"/>
    <w:rsid w:val="002E77C0"/>
    <w:rsid w:val="002E7C46"/>
    <w:rsid w:val="002F0149"/>
    <w:rsid w:val="002F3E4C"/>
    <w:rsid w:val="00302D9A"/>
    <w:rsid w:val="00305EA9"/>
    <w:rsid w:val="00306CA6"/>
    <w:rsid w:val="0030777D"/>
    <w:rsid w:val="00312858"/>
    <w:rsid w:val="00312BA5"/>
    <w:rsid w:val="003340F4"/>
    <w:rsid w:val="003369AA"/>
    <w:rsid w:val="003377A6"/>
    <w:rsid w:val="00343DB7"/>
    <w:rsid w:val="003533F5"/>
    <w:rsid w:val="00357390"/>
    <w:rsid w:val="003577DE"/>
    <w:rsid w:val="0035786D"/>
    <w:rsid w:val="00363428"/>
    <w:rsid w:val="003641ED"/>
    <w:rsid w:val="00367AB8"/>
    <w:rsid w:val="003711E1"/>
    <w:rsid w:val="00374F6A"/>
    <w:rsid w:val="00377D46"/>
    <w:rsid w:val="00377E34"/>
    <w:rsid w:val="00392C81"/>
    <w:rsid w:val="00397998"/>
    <w:rsid w:val="003A478C"/>
    <w:rsid w:val="003A5CA4"/>
    <w:rsid w:val="003C0E40"/>
    <w:rsid w:val="003C2ABC"/>
    <w:rsid w:val="003D1B55"/>
    <w:rsid w:val="003D1B75"/>
    <w:rsid w:val="003D30BD"/>
    <w:rsid w:val="003D7C85"/>
    <w:rsid w:val="003D7C98"/>
    <w:rsid w:val="003E04D5"/>
    <w:rsid w:val="003E5107"/>
    <w:rsid w:val="003E5A3B"/>
    <w:rsid w:val="003F074D"/>
    <w:rsid w:val="003F0DB7"/>
    <w:rsid w:val="003F22B6"/>
    <w:rsid w:val="003F585E"/>
    <w:rsid w:val="004019D3"/>
    <w:rsid w:val="0040710F"/>
    <w:rsid w:val="00407C83"/>
    <w:rsid w:val="004113D9"/>
    <w:rsid w:val="004149C9"/>
    <w:rsid w:val="00420D33"/>
    <w:rsid w:val="00424002"/>
    <w:rsid w:val="00424B07"/>
    <w:rsid w:val="00425680"/>
    <w:rsid w:val="00425891"/>
    <w:rsid w:val="004266ED"/>
    <w:rsid w:val="004274E2"/>
    <w:rsid w:val="0043169F"/>
    <w:rsid w:val="004335E7"/>
    <w:rsid w:val="00437923"/>
    <w:rsid w:val="00437B29"/>
    <w:rsid w:val="00446621"/>
    <w:rsid w:val="0045014F"/>
    <w:rsid w:val="0045106B"/>
    <w:rsid w:val="00454EC8"/>
    <w:rsid w:val="004554B2"/>
    <w:rsid w:val="0045749B"/>
    <w:rsid w:val="004647C9"/>
    <w:rsid w:val="004722E9"/>
    <w:rsid w:val="004734A8"/>
    <w:rsid w:val="00484B6F"/>
    <w:rsid w:val="0049549F"/>
    <w:rsid w:val="00496D74"/>
    <w:rsid w:val="004B0617"/>
    <w:rsid w:val="004B2D8E"/>
    <w:rsid w:val="004B3025"/>
    <w:rsid w:val="004B76FA"/>
    <w:rsid w:val="004C281B"/>
    <w:rsid w:val="004D18AC"/>
    <w:rsid w:val="004D3A02"/>
    <w:rsid w:val="004D75D1"/>
    <w:rsid w:val="004E0B61"/>
    <w:rsid w:val="004E43C6"/>
    <w:rsid w:val="004F5554"/>
    <w:rsid w:val="004F585C"/>
    <w:rsid w:val="004F75CE"/>
    <w:rsid w:val="00501540"/>
    <w:rsid w:val="0050790E"/>
    <w:rsid w:val="00510445"/>
    <w:rsid w:val="005260C6"/>
    <w:rsid w:val="005341E6"/>
    <w:rsid w:val="00535895"/>
    <w:rsid w:val="00537344"/>
    <w:rsid w:val="00551F65"/>
    <w:rsid w:val="005554F8"/>
    <w:rsid w:val="005556BC"/>
    <w:rsid w:val="005556FD"/>
    <w:rsid w:val="00556454"/>
    <w:rsid w:val="00562E2C"/>
    <w:rsid w:val="0056693E"/>
    <w:rsid w:val="0056752A"/>
    <w:rsid w:val="00571450"/>
    <w:rsid w:val="0057216F"/>
    <w:rsid w:val="00574BFB"/>
    <w:rsid w:val="00575BC6"/>
    <w:rsid w:val="005767E9"/>
    <w:rsid w:val="00576EE7"/>
    <w:rsid w:val="00580868"/>
    <w:rsid w:val="00581CDB"/>
    <w:rsid w:val="00587294"/>
    <w:rsid w:val="0059265A"/>
    <w:rsid w:val="00596E45"/>
    <w:rsid w:val="005A411F"/>
    <w:rsid w:val="005A4C07"/>
    <w:rsid w:val="005A6410"/>
    <w:rsid w:val="005A7B34"/>
    <w:rsid w:val="005B0669"/>
    <w:rsid w:val="005B7FA2"/>
    <w:rsid w:val="005C0398"/>
    <w:rsid w:val="005C119F"/>
    <w:rsid w:val="005C29FB"/>
    <w:rsid w:val="005C3A33"/>
    <w:rsid w:val="005D15FE"/>
    <w:rsid w:val="005D5823"/>
    <w:rsid w:val="005E3F4C"/>
    <w:rsid w:val="005F2469"/>
    <w:rsid w:val="005F6730"/>
    <w:rsid w:val="00600E0B"/>
    <w:rsid w:val="006018D0"/>
    <w:rsid w:val="00601B78"/>
    <w:rsid w:val="00603512"/>
    <w:rsid w:val="006035A8"/>
    <w:rsid w:val="00604A32"/>
    <w:rsid w:val="00624B85"/>
    <w:rsid w:val="006256D5"/>
    <w:rsid w:val="00627AB6"/>
    <w:rsid w:val="00632A61"/>
    <w:rsid w:val="00633B69"/>
    <w:rsid w:val="00637428"/>
    <w:rsid w:val="00637CD1"/>
    <w:rsid w:val="00644676"/>
    <w:rsid w:val="0065009E"/>
    <w:rsid w:val="00651770"/>
    <w:rsid w:val="00651F6D"/>
    <w:rsid w:val="006532D0"/>
    <w:rsid w:val="0065348B"/>
    <w:rsid w:val="00665CB8"/>
    <w:rsid w:val="00672436"/>
    <w:rsid w:val="00674129"/>
    <w:rsid w:val="006825A0"/>
    <w:rsid w:val="0068329B"/>
    <w:rsid w:val="006852C2"/>
    <w:rsid w:val="006877EC"/>
    <w:rsid w:val="00693C71"/>
    <w:rsid w:val="006A2FCA"/>
    <w:rsid w:val="006B3603"/>
    <w:rsid w:val="006B635C"/>
    <w:rsid w:val="006D0C25"/>
    <w:rsid w:val="006D1AEF"/>
    <w:rsid w:val="006D402A"/>
    <w:rsid w:val="006D63F3"/>
    <w:rsid w:val="006E0374"/>
    <w:rsid w:val="006E04C4"/>
    <w:rsid w:val="006F73C3"/>
    <w:rsid w:val="007072A1"/>
    <w:rsid w:val="00707FC2"/>
    <w:rsid w:val="00713F79"/>
    <w:rsid w:val="00722DE8"/>
    <w:rsid w:val="007262AE"/>
    <w:rsid w:val="00727915"/>
    <w:rsid w:val="00727B65"/>
    <w:rsid w:val="00740425"/>
    <w:rsid w:val="007434F2"/>
    <w:rsid w:val="00746D1E"/>
    <w:rsid w:val="00752381"/>
    <w:rsid w:val="00752525"/>
    <w:rsid w:val="00754635"/>
    <w:rsid w:val="007548FC"/>
    <w:rsid w:val="007710DE"/>
    <w:rsid w:val="007737BE"/>
    <w:rsid w:val="00774060"/>
    <w:rsid w:val="00784D3E"/>
    <w:rsid w:val="00793159"/>
    <w:rsid w:val="0079338D"/>
    <w:rsid w:val="00795EE0"/>
    <w:rsid w:val="007A002B"/>
    <w:rsid w:val="007A13B5"/>
    <w:rsid w:val="007A230A"/>
    <w:rsid w:val="007A4080"/>
    <w:rsid w:val="007A4EAA"/>
    <w:rsid w:val="007C1B33"/>
    <w:rsid w:val="007C7A44"/>
    <w:rsid w:val="007D4086"/>
    <w:rsid w:val="007D57DA"/>
    <w:rsid w:val="007D6A68"/>
    <w:rsid w:val="007E001F"/>
    <w:rsid w:val="007E01BC"/>
    <w:rsid w:val="007F0E5D"/>
    <w:rsid w:val="007F155A"/>
    <w:rsid w:val="00802B23"/>
    <w:rsid w:val="0080414C"/>
    <w:rsid w:val="00804B60"/>
    <w:rsid w:val="00812061"/>
    <w:rsid w:val="00813CEB"/>
    <w:rsid w:val="008202FC"/>
    <w:rsid w:val="00820690"/>
    <w:rsid w:val="00822D7B"/>
    <w:rsid w:val="00823E54"/>
    <w:rsid w:val="00827C43"/>
    <w:rsid w:val="008457DE"/>
    <w:rsid w:val="008538B7"/>
    <w:rsid w:val="008576BB"/>
    <w:rsid w:val="0086246E"/>
    <w:rsid w:val="00865A99"/>
    <w:rsid w:val="0086660E"/>
    <w:rsid w:val="0087153F"/>
    <w:rsid w:val="00881919"/>
    <w:rsid w:val="00881A42"/>
    <w:rsid w:val="0088723E"/>
    <w:rsid w:val="00893711"/>
    <w:rsid w:val="008953B5"/>
    <w:rsid w:val="008954AF"/>
    <w:rsid w:val="008A2D03"/>
    <w:rsid w:val="008B5478"/>
    <w:rsid w:val="008C0895"/>
    <w:rsid w:val="008D4245"/>
    <w:rsid w:val="008E3A24"/>
    <w:rsid w:val="008E5C91"/>
    <w:rsid w:val="008E67BD"/>
    <w:rsid w:val="008F7663"/>
    <w:rsid w:val="00905CBD"/>
    <w:rsid w:val="00910F9F"/>
    <w:rsid w:val="009159D4"/>
    <w:rsid w:val="009207BC"/>
    <w:rsid w:val="00926975"/>
    <w:rsid w:val="00927878"/>
    <w:rsid w:val="00933C7E"/>
    <w:rsid w:val="009374E1"/>
    <w:rsid w:val="009419EF"/>
    <w:rsid w:val="00945516"/>
    <w:rsid w:val="0094685A"/>
    <w:rsid w:val="00950A33"/>
    <w:rsid w:val="00954A1A"/>
    <w:rsid w:val="00955DBA"/>
    <w:rsid w:val="00956D15"/>
    <w:rsid w:val="0096225D"/>
    <w:rsid w:val="00966C79"/>
    <w:rsid w:val="0097139E"/>
    <w:rsid w:val="0097141C"/>
    <w:rsid w:val="009750E8"/>
    <w:rsid w:val="009763F4"/>
    <w:rsid w:val="00977538"/>
    <w:rsid w:val="009812DD"/>
    <w:rsid w:val="0098792C"/>
    <w:rsid w:val="009879A1"/>
    <w:rsid w:val="00992C40"/>
    <w:rsid w:val="00993E26"/>
    <w:rsid w:val="009B11E4"/>
    <w:rsid w:val="009B420D"/>
    <w:rsid w:val="009B4DE9"/>
    <w:rsid w:val="009B4E8D"/>
    <w:rsid w:val="009C32B2"/>
    <w:rsid w:val="009C3DD7"/>
    <w:rsid w:val="009C4CE9"/>
    <w:rsid w:val="009C772D"/>
    <w:rsid w:val="009D24B6"/>
    <w:rsid w:val="009E0794"/>
    <w:rsid w:val="009E2FD1"/>
    <w:rsid w:val="009F223F"/>
    <w:rsid w:val="009F43C9"/>
    <w:rsid w:val="009F792E"/>
    <w:rsid w:val="00A00AD9"/>
    <w:rsid w:val="00A04494"/>
    <w:rsid w:val="00A056F1"/>
    <w:rsid w:val="00A231EF"/>
    <w:rsid w:val="00A2679D"/>
    <w:rsid w:val="00A33E70"/>
    <w:rsid w:val="00A36DD0"/>
    <w:rsid w:val="00A502DB"/>
    <w:rsid w:val="00A524E0"/>
    <w:rsid w:val="00A54D2D"/>
    <w:rsid w:val="00A632E7"/>
    <w:rsid w:val="00A66518"/>
    <w:rsid w:val="00A67166"/>
    <w:rsid w:val="00A718DF"/>
    <w:rsid w:val="00A73EE9"/>
    <w:rsid w:val="00A77B5C"/>
    <w:rsid w:val="00A83FD8"/>
    <w:rsid w:val="00A84175"/>
    <w:rsid w:val="00A8442D"/>
    <w:rsid w:val="00A924ED"/>
    <w:rsid w:val="00A94F1C"/>
    <w:rsid w:val="00AA01AE"/>
    <w:rsid w:val="00AA3834"/>
    <w:rsid w:val="00AB47F2"/>
    <w:rsid w:val="00AB4D2D"/>
    <w:rsid w:val="00AB7A02"/>
    <w:rsid w:val="00AC0F68"/>
    <w:rsid w:val="00AC24E9"/>
    <w:rsid w:val="00AC262D"/>
    <w:rsid w:val="00AC6467"/>
    <w:rsid w:val="00AC68FC"/>
    <w:rsid w:val="00AD0798"/>
    <w:rsid w:val="00AD709B"/>
    <w:rsid w:val="00AE10ED"/>
    <w:rsid w:val="00AF06F5"/>
    <w:rsid w:val="00B03168"/>
    <w:rsid w:val="00B051FE"/>
    <w:rsid w:val="00B20AED"/>
    <w:rsid w:val="00B2257F"/>
    <w:rsid w:val="00B2295E"/>
    <w:rsid w:val="00B22C32"/>
    <w:rsid w:val="00B22FF0"/>
    <w:rsid w:val="00B248DC"/>
    <w:rsid w:val="00B36EB1"/>
    <w:rsid w:val="00B43312"/>
    <w:rsid w:val="00B4475C"/>
    <w:rsid w:val="00B44E5D"/>
    <w:rsid w:val="00B44F8C"/>
    <w:rsid w:val="00B53B14"/>
    <w:rsid w:val="00B540CA"/>
    <w:rsid w:val="00B57BCF"/>
    <w:rsid w:val="00B65CAB"/>
    <w:rsid w:val="00B72C91"/>
    <w:rsid w:val="00B735AE"/>
    <w:rsid w:val="00B75E19"/>
    <w:rsid w:val="00B77E0B"/>
    <w:rsid w:val="00B81C89"/>
    <w:rsid w:val="00B81E29"/>
    <w:rsid w:val="00B82676"/>
    <w:rsid w:val="00B83313"/>
    <w:rsid w:val="00B85EE1"/>
    <w:rsid w:val="00B96A8B"/>
    <w:rsid w:val="00B96B6C"/>
    <w:rsid w:val="00B9767B"/>
    <w:rsid w:val="00BA2312"/>
    <w:rsid w:val="00BA2BFB"/>
    <w:rsid w:val="00BA4634"/>
    <w:rsid w:val="00BA733E"/>
    <w:rsid w:val="00BA7E5E"/>
    <w:rsid w:val="00BB4626"/>
    <w:rsid w:val="00BC1499"/>
    <w:rsid w:val="00BC3373"/>
    <w:rsid w:val="00BC4B6D"/>
    <w:rsid w:val="00BC6295"/>
    <w:rsid w:val="00BC65CB"/>
    <w:rsid w:val="00BC6B1B"/>
    <w:rsid w:val="00BD7A0B"/>
    <w:rsid w:val="00BE0ED8"/>
    <w:rsid w:val="00BE533E"/>
    <w:rsid w:val="00BE6F54"/>
    <w:rsid w:val="00BE7AC5"/>
    <w:rsid w:val="00BF04E3"/>
    <w:rsid w:val="00BF108E"/>
    <w:rsid w:val="00BF2A55"/>
    <w:rsid w:val="00BF2E52"/>
    <w:rsid w:val="00BF6D7E"/>
    <w:rsid w:val="00C05C1A"/>
    <w:rsid w:val="00C06EDE"/>
    <w:rsid w:val="00C15DA7"/>
    <w:rsid w:val="00C175B0"/>
    <w:rsid w:val="00C22436"/>
    <w:rsid w:val="00C226E0"/>
    <w:rsid w:val="00C234E9"/>
    <w:rsid w:val="00C23ED7"/>
    <w:rsid w:val="00C328CF"/>
    <w:rsid w:val="00C37607"/>
    <w:rsid w:val="00C40B51"/>
    <w:rsid w:val="00C41EB4"/>
    <w:rsid w:val="00C478E6"/>
    <w:rsid w:val="00C507E8"/>
    <w:rsid w:val="00C55210"/>
    <w:rsid w:val="00C56832"/>
    <w:rsid w:val="00C6032D"/>
    <w:rsid w:val="00C6043C"/>
    <w:rsid w:val="00C66635"/>
    <w:rsid w:val="00C7440A"/>
    <w:rsid w:val="00C77574"/>
    <w:rsid w:val="00C82518"/>
    <w:rsid w:val="00C83BAE"/>
    <w:rsid w:val="00C841A0"/>
    <w:rsid w:val="00C8487F"/>
    <w:rsid w:val="00C856AD"/>
    <w:rsid w:val="00C8767E"/>
    <w:rsid w:val="00C879AC"/>
    <w:rsid w:val="00C90AB3"/>
    <w:rsid w:val="00C91672"/>
    <w:rsid w:val="00C91F2C"/>
    <w:rsid w:val="00C940D9"/>
    <w:rsid w:val="00C9773D"/>
    <w:rsid w:val="00CA1354"/>
    <w:rsid w:val="00CA3397"/>
    <w:rsid w:val="00CA46FC"/>
    <w:rsid w:val="00CA6B8A"/>
    <w:rsid w:val="00CA78FE"/>
    <w:rsid w:val="00CA798B"/>
    <w:rsid w:val="00CA79CC"/>
    <w:rsid w:val="00CA7ED4"/>
    <w:rsid w:val="00CB4BDE"/>
    <w:rsid w:val="00CC5761"/>
    <w:rsid w:val="00CC6373"/>
    <w:rsid w:val="00CD275D"/>
    <w:rsid w:val="00CD7892"/>
    <w:rsid w:val="00CE45DD"/>
    <w:rsid w:val="00CE46D3"/>
    <w:rsid w:val="00D0460E"/>
    <w:rsid w:val="00D126E8"/>
    <w:rsid w:val="00D1304B"/>
    <w:rsid w:val="00D13D16"/>
    <w:rsid w:val="00D14FF1"/>
    <w:rsid w:val="00D173A1"/>
    <w:rsid w:val="00D259C5"/>
    <w:rsid w:val="00D2602F"/>
    <w:rsid w:val="00D30E4C"/>
    <w:rsid w:val="00D33D81"/>
    <w:rsid w:val="00D4299C"/>
    <w:rsid w:val="00D44288"/>
    <w:rsid w:val="00D50C00"/>
    <w:rsid w:val="00D511E3"/>
    <w:rsid w:val="00D57312"/>
    <w:rsid w:val="00D71386"/>
    <w:rsid w:val="00D73EA4"/>
    <w:rsid w:val="00D77DF5"/>
    <w:rsid w:val="00D80A24"/>
    <w:rsid w:val="00D8513D"/>
    <w:rsid w:val="00D87FB3"/>
    <w:rsid w:val="00D911BF"/>
    <w:rsid w:val="00D9125A"/>
    <w:rsid w:val="00D9376D"/>
    <w:rsid w:val="00DA1866"/>
    <w:rsid w:val="00DA27FD"/>
    <w:rsid w:val="00DB1481"/>
    <w:rsid w:val="00DB1F9A"/>
    <w:rsid w:val="00DB61C9"/>
    <w:rsid w:val="00DB6F0C"/>
    <w:rsid w:val="00DB79AA"/>
    <w:rsid w:val="00DC138A"/>
    <w:rsid w:val="00DC1FE4"/>
    <w:rsid w:val="00DC353C"/>
    <w:rsid w:val="00DC7F57"/>
    <w:rsid w:val="00DD19A6"/>
    <w:rsid w:val="00DD3EF7"/>
    <w:rsid w:val="00DE098C"/>
    <w:rsid w:val="00E05682"/>
    <w:rsid w:val="00E15126"/>
    <w:rsid w:val="00E176CD"/>
    <w:rsid w:val="00E2094D"/>
    <w:rsid w:val="00E21E2B"/>
    <w:rsid w:val="00E228D5"/>
    <w:rsid w:val="00E23FE7"/>
    <w:rsid w:val="00E3335C"/>
    <w:rsid w:val="00E34D9F"/>
    <w:rsid w:val="00E411ED"/>
    <w:rsid w:val="00E41B0B"/>
    <w:rsid w:val="00E43D72"/>
    <w:rsid w:val="00E450E0"/>
    <w:rsid w:val="00E50BF9"/>
    <w:rsid w:val="00E5375B"/>
    <w:rsid w:val="00E53819"/>
    <w:rsid w:val="00E56ED9"/>
    <w:rsid w:val="00E704DB"/>
    <w:rsid w:val="00E742CE"/>
    <w:rsid w:val="00E763A2"/>
    <w:rsid w:val="00E76977"/>
    <w:rsid w:val="00E82D46"/>
    <w:rsid w:val="00E84131"/>
    <w:rsid w:val="00E90547"/>
    <w:rsid w:val="00E91EBA"/>
    <w:rsid w:val="00E92ECE"/>
    <w:rsid w:val="00E9313B"/>
    <w:rsid w:val="00E93888"/>
    <w:rsid w:val="00E95A5A"/>
    <w:rsid w:val="00EA01A4"/>
    <w:rsid w:val="00EA01C2"/>
    <w:rsid w:val="00EA4B59"/>
    <w:rsid w:val="00EA6232"/>
    <w:rsid w:val="00EC5235"/>
    <w:rsid w:val="00EC7968"/>
    <w:rsid w:val="00ED044A"/>
    <w:rsid w:val="00ED5760"/>
    <w:rsid w:val="00ED752E"/>
    <w:rsid w:val="00EE23DD"/>
    <w:rsid w:val="00EE3CE7"/>
    <w:rsid w:val="00F01466"/>
    <w:rsid w:val="00F06892"/>
    <w:rsid w:val="00F11A4F"/>
    <w:rsid w:val="00F12884"/>
    <w:rsid w:val="00F154EE"/>
    <w:rsid w:val="00F17A66"/>
    <w:rsid w:val="00F2064E"/>
    <w:rsid w:val="00F2198A"/>
    <w:rsid w:val="00F22FF4"/>
    <w:rsid w:val="00F33014"/>
    <w:rsid w:val="00F3339E"/>
    <w:rsid w:val="00F3348C"/>
    <w:rsid w:val="00F37C59"/>
    <w:rsid w:val="00F4052C"/>
    <w:rsid w:val="00F44256"/>
    <w:rsid w:val="00F45007"/>
    <w:rsid w:val="00F511EC"/>
    <w:rsid w:val="00F605BB"/>
    <w:rsid w:val="00F854D7"/>
    <w:rsid w:val="00F915E7"/>
    <w:rsid w:val="00F93D80"/>
    <w:rsid w:val="00F94A37"/>
    <w:rsid w:val="00F94D1D"/>
    <w:rsid w:val="00FA276E"/>
    <w:rsid w:val="00FA3F02"/>
    <w:rsid w:val="00FB33CA"/>
    <w:rsid w:val="00FB4F08"/>
    <w:rsid w:val="00FB6AA5"/>
    <w:rsid w:val="00FB7FFD"/>
    <w:rsid w:val="00FC24DD"/>
    <w:rsid w:val="00FC39B3"/>
    <w:rsid w:val="00FC572B"/>
    <w:rsid w:val="00FD1D22"/>
    <w:rsid w:val="00FD3624"/>
    <w:rsid w:val="00FD6D8F"/>
    <w:rsid w:val="00FE0B2F"/>
    <w:rsid w:val="00FE5DFC"/>
    <w:rsid w:val="00FF0434"/>
    <w:rsid w:val="00FF0A08"/>
    <w:rsid w:val="00FF3297"/>
    <w:rsid w:val="00FF4D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A3611921-210F-4756-A5E4-FEDF59F2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3CE3"/>
    <w:rPr>
      <w:sz w:val="24"/>
    </w:rPr>
  </w:style>
  <w:style w:type="paragraph" w:styleId="Nagwek1">
    <w:name w:val="heading 1"/>
    <w:basedOn w:val="Normalny"/>
    <w:next w:val="Normalny"/>
    <w:link w:val="Nagwek1Znak"/>
    <w:qFormat/>
    <w:rsid w:val="002D3CE3"/>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2D3CE3"/>
    <w:pPr>
      <w:keepNext/>
      <w:spacing w:before="240" w:after="60"/>
      <w:outlineLvl w:val="1"/>
    </w:pPr>
    <w:rPr>
      <w:rFonts w:ascii="Cambria" w:hAnsi="Cambria"/>
      <w:b/>
      <w:bCs/>
      <w:i/>
      <w:iCs/>
      <w:sz w:val="28"/>
      <w:szCs w:val="28"/>
      <w:lang w:val="x-none" w:eastAsia="x-none"/>
    </w:rPr>
  </w:style>
  <w:style w:type="paragraph" w:styleId="Nagwek3">
    <w:name w:val="heading 3"/>
    <w:basedOn w:val="Normalny"/>
    <w:next w:val="Normalny"/>
    <w:link w:val="Nagwek3Znak"/>
    <w:qFormat/>
    <w:rsid w:val="002D3CE3"/>
    <w:pPr>
      <w:keepNext/>
      <w:spacing w:before="240" w:after="60"/>
      <w:outlineLvl w:val="2"/>
    </w:pPr>
    <w:rPr>
      <w:rFonts w:ascii="Cambria" w:hAnsi="Cambria"/>
      <w:b/>
      <w:bCs/>
      <w:sz w:val="26"/>
      <w:szCs w:val="26"/>
      <w:lang w:val="x-none" w:eastAsia="x-none"/>
    </w:rPr>
  </w:style>
  <w:style w:type="paragraph" w:styleId="Nagwek4">
    <w:name w:val="heading 4"/>
    <w:basedOn w:val="Normalny"/>
    <w:next w:val="Normalny"/>
    <w:link w:val="Nagwek4Znak"/>
    <w:qFormat/>
    <w:rsid w:val="002D3CE3"/>
    <w:pPr>
      <w:keepNext/>
      <w:spacing w:line="360" w:lineRule="auto"/>
      <w:jc w:val="both"/>
      <w:outlineLvl w:val="3"/>
    </w:pPr>
    <w:rPr>
      <w:rFonts w:ascii="Calibri" w:hAnsi="Calibri"/>
      <w:b/>
      <w:bCs/>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C91F2C"/>
    <w:rPr>
      <w:rFonts w:ascii="Cambria" w:hAnsi="Cambria" w:cs="Times New Roman"/>
      <w:b/>
      <w:bCs/>
      <w:kern w:val="32"/>
      <w:sz w:val="32"/>
      <w:szCs w:val="32"/>
    </w:rPr>
  </w:style>
  <w:style w:type="character" w:customStyle="1" w:styleId="Nagwek2Znak">
    <w:name w:val="Nagłówek 2 Znak"/>
    <w:link w:val="Nagwek2"/>
    <w:semiHidden/>
    <w:locked/>
    <w:rsid w:val="00C91F2C"/>
    <w:rPr>
      <w:rFonts w:ascii="Cambria" w:hAnsi="Cambria" w:cs="Times New Roman"/>
      <w:b/>
      <w:bCs/>
      <w:i/>
      <w:iCs/>
      <w:sz w:val="28"/>
      <w:szCs w:val="28"/>
    </w:rPr>
  </w:style>
  <w:style w:type="character" w:customStyle="1" w:styleId="Nagwek3Znak">
    <w:name w:val="Nagłówek 3 Znak"/>
    <w:link w:val="Nagwek3"/>
    <w:semiHidden/>
    <w:locked/>
    <w:rsid w:val="00C91F2C"/>
    <w:rPr>
      <w:rFonts w:ascii="Cambria" w:hAnsi="Cambria" w:cs="Times New Roman"/>
      <w:b/>
      <w:bCs/>
      <w:sz w:val="26"/>
      <w:szCs w:val="26"/>
    </w:rPr>
  </w:style>
  <w:style w:type="character" w:customStyle="1" w:styleId="Nagwek4Znak">
    <w:name w:val="Nagłówek 4 Znak"/>
    <w:link w:val="Nagwek4"/>
    <w:semiHidden/>
    <w:locked/>
    <w:rsid w:val="00C91F2C"/>
    <w:rPr>
      <w:rFonts w:ascii="Calibri" w:hAnsi="Calibri" w:cs="Times New Roman"/>
      <w:b/>
      <w:bCs/>
      <w:sz w:val="28"/>
      <w:szCs w:val="28"/>
    </w:rPr>
  </w:style>
  <w:style w:type="paragraph" w:styleId="Stopka">
    <w:name w:val="footer"/>
    <w:basedOn w:val="Normalny"/>
    <w:link w:val="StopkaZnak"/>
    <w:rsid w:val="002D3CE3"/>
    <w:pPr>
      <w:tabs>
        <w:tab w:val="center" w:pos="4536"/>
        <w:tab w:val="right" w:pos="9072"/>
      </w:tabs>
    </w:pPr>
    <w:rPr>
      <w:lang w:val="x-none" w:eastAsia="x-none"/>
    </w:rPr>
  </w:style>
  <w:style w:type="character" w:customStyle="1" w:styleId="StopkaZnak">
    <w:name w:val="Stopka Znak"/>
    <w:link w:val="Stopka"/>
    <w:locked/>
    <w:rsid w:val="00C91F2C"/>
    <w:rPr>
      <w:rFonts w:cs="Times New Roman"/>
      <w:sz w:val="24"/>
    </w:rPr>
  </w:style>
  <w:style w:type="character" w:styleId="Numerstrony">
    <w:name w:val="page number"/>
    <w:rsid w:val="002D3CE3"/>
    <w:rPr>
      <w:rFonts w:cs="Times New Roman"/>
    </w:rPr>
  </w:style>
  <w:style w:type="paragraph" w:styleId="Nagwek">
    <w:name w:val="header"/>
    <w:basedOn w:val="Normalny"/>
    <w:link w:val="NagwekZnak"/>
    <w:rsid w:val="002D3CE3"/>
    <w:pPr>
      <w:tabs>
        <w:tab w:val="center" w:pos="4536"/>
        <w:tab w:val="right" w:pos="9072"/>
      </w:tabs>
    </w:pPr>
    <w:rPr>
      <w:lang w:val="x-none" w:eastAsia="x-none"/>
    </w:rPr>
  </w:style>
  <w:style w:type="character" w:customStyle="1" w:styleId="NagwekZnak">
    <w:name w:val="Nagłówek Znak"/>
    <w:link w:val="Nagwek"/>
    <w:semiHidden/>
    <w:locked/>
    <w:rsid w:val="00C91F2C"/>
    <w:rPr>
      <w:rFonts w:cs="Times New Roman"/>
      <w:sz w:val="24"/>
    </w:rPr>
  </w:style>
  <w:style w:type="paragraph" w:styleId="Tekstpodstawowywcity">
    <w:name w:val="Body Text Indent"/>
    <w:basedOn w:val="Normalny"/>
    <w:link w:val="TekstpodstawowywcityZnak"/>
    <w:rsid w:val="002D3CE3"/>
    <w:pPr>
      <w:ind w:left="426" w:hanging="284"/>
      <w:jc w:val="both"/>
    </w:pPr>
    <w:rPr>
      <w:lang w:val="x-none" w:eastAsia="x-none"/>
    </w:rPr>
  </w:style>
  <w:style w:type="character" w:customStyle="1" w:styleId="TekstpodstawowywcityZnak">
    <w:name w:val="Tekst podstawowy wcięty Znak"/>
    <w:link w:val="Tekstpodstawowywcity"/>
    <w:semiHidden/>
    <w:locked/>
    <w:rsid w:val="00C91F2C"/>
    <w:rPr>
      <w:rFonts w:cs="Times New Roman"/>
      <w:sz w:val="24"/>
    </w:rPr>
  </w:style>
  <w:style w:type="paragraph" w:styleId="Tekstpodstawowy">
    <w:name w:val="Body Text"/>
    <w:basedOn w:val="Normalny"/>
    <w:link w:val="TekstpodstawowyZnak"/>
    <w:rsid w:val="002D3CE3"/>
    <w:pPr>
      <w:spacing w:before="120" w:after="120"/>
      <w:jc w:val="both"/>
    </w:pPr>
    <w:rPr>
      <w:lang w:val="x-none" w:eastAsia="x-none"/>
    </w:rPr>
  </w:style>
  <w:style w:type="character" w:customStyle="1" w:styleId="TekstpodstawowyZnak">
    <w:name w:val="Tekst podstawowy Znak"/>
    <w:link w:val="Tekstpodstawowy"/>
    <w:semiHidden/>
    <w:locked/>
    <w:rsid w:val="00C91F2C"/>
    <w:rPr>
      <w:rFonts w:cs="Times New Roman"/>
      <w:sz w:val="24"/>
    </w:rPr>
  </w:style>
  <w:style w:type="paragraph" w:styleId="Tekstpodstawowywcity2">
    <w:name w:val="Body Text Indent 2"/>
    <w:basedOn w:val="Normalny"/>
    <w:link w:val="Tekstpodstawowywcity2Znak"/>
    <w:rsid w:val="002D3CE3"/>
    <w:pPr>
      <w:ind w:left="142" w:hanging="142"/>
      <w:jc w:val="both"/>
    </w:pPr>
    <w:rPr>
      <w:lang w:val="x-none" w:eastAsia="x-none"/>
    </w:rPr>
  </w:style>
  <w:style w:type="character" w:customStyle="1" w:styleId="Tekstpodstawowywcity2Znak">
    <w:name w:val="Tekst podstawowy wcięty 2 Znak"/>
    <w:link w:val="Tekstpodstawowywcity2"/>
    <w:semiHidden/>
    <w:locked/>
    <w:rsid w:val="00C91F2C"/>
    <w:rPr>
      <w:rFonts w:cs="Times New Roman"/>
      <w:sz w:val="24"/>
    </w:rPr>
  </w:style>
  <w:style w:type="paragraph" w:styleId="Tekstpodstawowywcity3">
    <w:name w:val="Body Text Indent 3"/>
    <w:basedOn w:val="Normalny"/>
    <w:link w:val="Tekstpodstawowywcity3Znak"/>
    <w:rsid w:val="002D3CE3"/>
    <w:pPr>
      <w:spacing w:line="360" w:lineRule="auto"/>
      <w:ind w:left="567" w:hanging="567"/>
    </w:pPr>
    <w:rPr>
      <w:sz w:val="16"/>
      <w:szCs w:val="16"/>
      <w:lang w:val="x-none" w:eastAsia="x-none"/>
    </w:rPr>
  </w:style>
  <w:style w:type="character" w:customStyle="1" w:styleId="Tekstpodstawowywcity3Znak">
    <w:name w:val="Tekst podstawowy wcięty 3 Znak"/>
    <w:link w:val="Tekstpodstawowywcity3"/>
    <w:semiHidden/>
    <w:locked/>
    <w:rsid w:val="00C91F2C"/>
    <w:rPr>
      <w:rFonts w:cs="Times New Roman"/>
      <w:sz w:val="16"/>
      <w:szCs w:val="16"/>
    </w:rPr>
  </w:style>
  <w:style w:type="paragraph" w:styleId="Tekstpodstawowy2">
    <w:name w:val="Body Text 2"/>
    <w:basedOn w:val="Normalny"/>
    <w:link w:val="Tekstpodstawowy2Znak"/>
    <w:rsid w:val="002D3CE3"/>
    <w:pPr>
      <w:framePr w:w="4749" w:h="681" w:hSpace="141" w:wrap="around" w:vAnchor="text" w:hAnchor="page" w:x="1877" w:y="238"/>
      <w:pBdr>
        <w:top w:val="single" w:sz="6" w:space="1" w:color="auto"/>
        <w:left w:val="single" w:sz="6" w:space="1" w:color="auto"/>
        <w:bottom w:val="single" w:sz="6" w:space="1" w:color="auto"/>
        <w:right w:val="single" w:sz="6" w:space="1" w:color="auto"/>
      </w:pBdr>
      <w:jc w:val="center"/>
    </w:pPr>
    <w:rPr>
      <w:lang w:val="x-none" w:eastAsia="x-none"/>
    </w:rPr>
  </w:style>
  <w:style w:type="character" w:customStyle="1" w:styleId="Tekstpodstawowy2Znak">
    <w:name w:val="Tekst podstawowy 2 Znak"/>
    <w:link w:val="Tekstpodstawowy2"/>
    <w:semiHidden/>
    <w:locked/>
    <w:rsid w:val="00C91F2C"/>
    <w:rPr>
      <w:rFonts w:cs="Times New Roman"/>
      <w:sz w:val="24"/>
    </w:rPr>
  </w:style>
  <w:style w:type="paragraph" w:styleId="Tekstpodstawowy3">
    <w:name w:val="Body Text 3"/>
    <w:basedOn w:val="Normalny"/>
    <w:link w:val="Tekstpodstawowy3Znak"/>
    <w:rsid w:val="002D3CE3"/>
    <w:rPr>
      <w:sz w:val="16"/>
      <w:szCs w:val="16"/>
      <w:lang w:val="x-none" w:eastAsia="x-none"/>
    </w:rPr>
  </w:style>
  <w:style w:type="character" w:customStyle="1" w:styleId="Tekstpodstawowy3Znak">
    <w:name w:val="Tekst podstawowy 3 Znak"/>
    <w:link w:val="Tekstpodstawowy3"/>
    <w:semiHidden/>
    <w:locked/>
    <w:rsid w:val="00C91F2C"/>
    <w:rPr>
      <w:rFonts w:cs="Times New Roman"/>
      <w:sz w:val="16"/>
      <w:szCs w:val="16"/>
    </w:rPr>
  </w:style>
  <w:style w:type="paragraph" w:styleId="Tekstblokowy">
    <w:name w:val="Block Text"/>
    <w:basedOn w:val="Normalny"/>
    <w:rsid w:val="002D3CE3"/>
    <w:pPr>
      <w:tabs>
        <w:tab w:val="left" w:pos="284"/>
      </w:tabs>
      <w:spacing w:line="360" w:lineRule="auto"/>
      <w:ind w:left="284" w:right="113" w:hanging="284"/>
    </w:pPr>
  </w:style>
  <w:style w:type="paragraph" w:styleId="Tekstdymka">
    <w:name w:val="Balloon Text"/>
    <w:basedOn w:val="Normalny"/>
    <w:link w:val="TekstdymkaZnak"/>
    <w:rsid w:val="009F223F"/>
    <w:rPr>
      <w:rFonts w:ascii="Tahoma" w:hAnsi="Tahoma"/>
      <w:sz w:val="16"/>
      <w:szCs w:val="16"/>
      <w:lang w:val="x-none" w:eastAsia="x-none"/>
    </w:rPr>
  </w:style>
  <w:style w:type="character" w:customStyle="1" w:styleId="TekstdymkaZnak">
    <w:name w:val="Tekst dymka Znak"/>
    <w:link w:val="Tekstdymka"/>
    <w:rsid w:val="009F223F"/>
    <w:rPr>
      <w:rFonts w:ascii="Tahoma" w:hAnsi="Tahoma" w:cs="Tahoma"/>
      <w:sz w:val="16"/>
      <w:szCs w:val="16"/>
    </w:rPr>
  </w:style>
  <w:style w:type="character" w:styleId="Odwoaniedokomentarza">
    <w:name w:val="annotation reference"/>
    <w:uiPriority w:val="99"/>
    <w:rsid w:val="009F223F"/>
    <w:rPr>
      <w:sz w:val="16"/>
      <w:szCs w:val="16"/>
    </w:rPr>
  </w:style>
  <w:style w:type="paragraph" w:styleId="Tekstkomentarza">
    <w:name w:val="annotation text"/>
    <w:basedOn w:val="Normalny"/>
    <w:link w:val="TekstkomentarzaZnak"/>
    <w:uiPriority w:val="99"/>
    <w:rsid w:val="009F223F"/>
    <w:rPr>
      <w:sz w:val="20"/>
    </w:rPr>
  </w:style>
  <w:style w:type="character" w:customStyle="1" w:styleId="TekstkomentarzaZnak">
    <w:name w:val="Tekst komentarza Znak"/>
    <w:basedOn w:val="Domylnaczcionkaakapitu"/>
    <w:link w:val="Tekstkomentarza"/>
    <w:uiPriority w:val="99"/>
    <w:rsid w:val="009F223F"/>
  </w:style>
  <w:style w:type="paragraph" w:styleId="Tematkomentarza">
    <w:name w:val="annotation subject"/>
    <w:basedOn w:val="Tekstkomentarza"/>
    <w:next w:val="Tekstkomentarza"/>
    <w:link w:val="TematkomentarzaZnak"/>
    <w:rsid w:val="009F223F"/>
    <w:rPr>
      <w:b/>
      <w:bCs/>
      <w:lang w:val="x-none" w:eastAsia="x-none"/>
    </w:rPr>
  </w:style>
  <w:style w:type="character" w:customStyle="1" w:styleId="TematkomentarzaZnak">
    <w:name w:val="Temat komentarza Znak"/>
    <w:link w:val="Tematkomentarza"/>
    <w:rsid w:val="009F223F"/>
    <w:rPr>
      <w:b/>
      <w:bCs/>
    </w:rPr>
  </w:style>
  <w:style w:type="paragraph" w:customStyle="1" w:styleId="Kolorowecieniowanieakcent11">
    <w:name w:val="Kolorowe cieniowanie — akcent 11"/>
    <w:hidden/>
    <w:uiPriority w:val="99"/>
    <w:semiHidden/>
    <w:rsid w:val="00234A3B"/>
    <w:rPr>
      <w:sz w:val="24"/>
    </w:rPr>
  </w:style>
  <w:style w:type="character" w:customStyle="1" w:styleId="StopkaZnak1">
    <w:name w:val="Stopka Znak1"/>
    <w:locked/>
    <w:rsid w:val="003369AA"/>
    <w:rPr>
      <w:rFonts w:ascii="Calibri" w:eastAsia="Calibri" w:hAnsi="Calibri" w:cs="Times New Roman"/>
    </w:rPr>
  </w:style>
  <w:style w:type="character" w:styleId="Hipercze">
    <w:name w:val="Hyperlink"/>
    <w:uiPriority w:val="99"/>
    <w:unhideWhenUsed/>
    <w:rsid w:val="00B43312"/>
    <w:rPr>
      <w:color w:val="0000FF"/>
      <w:u w:val="single"/>
    </w:rPr>
  </w:style>
  <w:style w:type="character" w:styleId="Uwydatnienie">
    <w:name w:val="Emphasis"/>
    <w:qFormat/>
    <w:locked/>
    <w:rsid w:val="00B43312"/>
    <w:rPr>
      <w:i/>
      <w:iCs/>
    </w:rPr>
  </w:style>
  <w:style w:type="table" w:styleId="Tabela-Siatka">
    <w:name w:val="Table Grid"/>
    <w:basedOn w:val="Standardowy"/>
    <w:locked/>
    <w:rsid w:val="009B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locked/>
    <w:rsid w:val="003D7C98"/>
    <w:rPr>
      <w:b/>
      <w:bCs/>
    </w:rPr>
  </w:style>
  <w:style w:type="paragraph" w:styleId="Tytu">
    <w:name w:val="Title"/>
    <w:basedOn w:val="Normalny"/>
    <w:next w:val="Normalny"/>
    <w:link w:val="TytuZnak"/>
    <w:qFormat/>
    <w:locked/>
    <w:rsid w:val="00CD275D"/>
    <w:pPr>
      <w:spacing w:before="240" w:after="60"/>
      <w:jc w:val="center"/>
      <w:outlineLvl w:val="0"/>
    </w:pPr>
    <w:rPr>
      <w:rFonts w:ascii="Calibri Light" w:hAnsi="Calibri Light"/>
      <w:b/>
      <w:bCs/>
      <w:kern w:val="28"/>
      <w:sz w:val="32"/>
      <w:szCs w:val="32"/>
    </w:rPr>
  </w:style>
  <w:style w:type="character" w:customStyle="1" w:styleId="TytuZnak">
    <w:name w:val="Tytuł Znak"/>
    <w:link w:val="Tytu"/>
    <w:rsid w:val="00CD275D"/>
    <w:rPr>
      <w:rFonts w:ascii="Calibri Light" w:eastAsia="Times New Roman" w:hAnsi="Calibri Light" w:cs="Times New Roman"/>
      <w:b/>
      <w:bCs/>
      <w:kern w:val="28"/>
      <w:sz w:val="32"/>
      <w:szCs w:val="32"/>
    </w:rPr>
  </w:style>
  <w:style w:type="paragraph" w:styleId="Akapitzlist">
    <w:name w:val="List Paragraph"/>
    <w:basedOn w:val="Normalny"/>
    <w:link w:val="AkapitzlistZnak"/>
    <w:uiPriority w:val="34"/>
    <w:qFormat/>
    <w:rsid w:val="00DA1866"/>
    <w:pPr>
      <w:ind w:left="708"/>
    </w:pPr>
    <w:rPr>
      <w:szCs w:val="24"/>
    </w:rPr>
  </w:style>
  <w:style w:type="paragraph" w:customStyle="1" w:styleId="Default">
    <w:name w:val="Default"/>
    <w:rsid w:val="00BC6B1B"/>
    <w:pPr>
      <w:autoSpaceDE w:val="0"/>
      <w:autoSpaceDN w:val="0"/>
      <w:adjustRightInd w:val="0"/>
    </w:pPr>
    <w:rPr>
      <w:rFonts w:ascii="Calibri" w:hAnsi="Calibri" w:cs="Calibri"/>
      <w:color w:val="000000"/>
      <w:sz w:val="24"/>
      <w:szCs w:val="24"/>
    </w:rPr>
  </w:style>
  <w:style w:type="table" w:customStyle="1" w:styleId="TableGrid">
    <w:name w:val="TableGrid"/>
    <w:rsid w:val="00752381"/>
    <w:rPr>
      <w:rFonts w:ascii="Calibri" w:hAnsi="Calibri"/>
      <w:sz w:val="22"/>
      <w:szCs w:val="22"/>
    </w:rPr>
    <w:tblPr>
      <w:tblCellMar>
        <w:top w:w="0" w:type="dxa"/>
        <w:left w:w="0" w:type="dxa"/>
        <w:bottom w:w="0" w:type="dxa"/>
        <w:right w:w="0" w:type="dxa"/>
      </w:tblCellMar>
    </w:tblPr>
  </w:style>
  <w:style w:type="character" w:customStyle="1" w:styleId="AkapitzlistZnak">
    <w:name w:val="Akapit z listą Znak"/>
    <w:link w:val="Akapitzlist"/>
    <w:uiPriority w:val="34"/>
    <w:rsid w:val="00B03168"/>
    <w:rPr>
      <w:sz w:val="24"/>
      <w:szCs w:val="24"/>
    </w:rPr>
  </w:style>
  <w:style w:type="paragraph" w:customStyle="1" w:styleId="Standard">
    <w:name w:val="Standard"/>
    <w:rsid w:val="006D63F3"/>
    <w:pPr>
      <w:suppressAutoHyphens/>
      <w:autoSpaceDN w:val="0"/>
      <w:spacing w:line="249" w:lineRule="auto"/>
      <w:textAlignment w:val="baseline"/>
    </w:pPr>
    <w:rPr>
      <w:rFonts w:ascii="Calibri" w:eastAsia="SimSun" w:hAnsi="Calibri" w:cs="Tahoma"/>
      <w:kern w:val="3"/>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174791">
      <w:bodyDiv w:val="1"/>
      <w:marLeft w:val="0"/>
      <w:marRight w:val="0"/>
      <w:marTop w:val="0"/>
      <w:marBottom w:val="0"/>
      <w:divBdr>
        <w:top w:val="none" w:sz="0" w:space="0" w:color="auto"/>
        <w:left w:val="none" w:sz="0" w:space="0" w:color="auto"/>
        <w:bottom w:val="none" w:sz="0" w:space="0" w:color="auto"/>
        <w:right w:val="none" w:sz="0" w:space="0" w:color="auto"/>
      </w:divBdr>
    </w:div>
    <w:div w:id="321349535">
      <w:bodyDiv w:val="1"/>
      <w:marLeft w:val="0"/>
      <w:marRight w:val="0"/>
      <w:marTop w:val="0"/>
      <w:marBottom w:val="0"/>
      <w:divBdr>
        <w:top w:val="none" w:sz="0" w:space="0" w:color="auto"/>
        <w:left w:val="none" w:sz="0" w:space="0" w:color="auto"/>
        <w:bottom w:val="none" w:sz="0" w:space="0" w:color="auto"/>
        <w:right w:val="none" w:sz="0" w:space="0" w:color="auto"/>
      </w:divBdr>
    </w:div>
    <w:div w:id="321978628">
      <w:bodyDiv w:val="1"/>
      <w:marLeft w:val="0"/>
      <w:marRight w:val="0"/>
      <w:marTop w:val="0"/>
      <w:marBottom w:val="0"/>
      <w:divBdr>
        <w:top w:val="none" w:sz="0" w:space="0" w:color="auto"/>
        <w:left w:val="none" w:sz="0" w:space="0" w:color="auto"/>
        <w:bottom w:val="none" w:sz="0" w:space="0" w:color="auto"/>
        <w:right w:val="none" w:sz="0" w:space="0" w:color="auto"/>
      </w:divBdr>
    </w:div>
    <w:div w:id="351079023">
      <w:bodyDiv w:val="1"/>
      <w:marLeft w:val="0"/>
      <w:marRight w:val="0"/>
      <w:marTop w:val="0"/>
      <w:marBottom w:val="0"/>
      <w:divBdr>
        <w:top w:val="none" w:sz="0" w:space="0" w:color="auto"/>
        <w:left w:val="none" w:sz="0" w:space="0" w:color="auto"/>
        <w:bottom w:val="none" w:sz="0" w:space="0" w:color="auto"/>
        <w:right w:val="none" w:sz="0" w:space="0" w:color="auto"/>
      </w:divBdr>
      <w:divsChild>
        <w:div w:id="1351180942">
          <w:marLeft w:val="0"/>
          <w:marRight w:val="0"/>
          <w:marTop w:val="0"/>
          <w:marBottom w:val="0"/>
          <w:divBdr>
            <w:top w:val="none" w:sz="0" w:space="0" w:color="auto"/>
            <w:left w:val="none" w:sz="0" w:space="0" w:color="auto"/>
            <w:bottom w:val="none" w:sz="0" w:space="0" w:color="auto"/>
            <w:right w:val="none" w:sz="0" w:space="0" w:color="auto"/>
          </w:divBdr>
        </w:div>
        <w:div w:id="2004041529">
          <w:marLeft w:val="0"/>
          <w:marRight w:val="0"/>
          <w:marTop w:val="0"/>
          <w:marBottom w:val="0"/>
          <w:divBdr>
            <w:top w:val="none" w:sz="0" w:space="0" w:color="auto"/>
            <w:left w:val="none" w:sz="0" w:space="0" w:color="auto"/>
            <w:bottom w:val="none" w:sz="0" w:space="0" w:color="auto"/>
            <w:right w:val="none" w:sz="0" w:space="0" w:color="auto"/>
          </w:divBdr>
        </w:div>
      </w:divsChild>
    </w:div>
    <w:div w:id="624427953">
      <w:bodyDiv w:val="1"/>
      <w:marLeft w:val="0"/>
      <w:marRight w:val="0"/>
      <w:marTop w:val="0"/>
      <w:marBottom w:val="0"/>
      <w:divBdr>
        <w:top w:val="none" w:sz="0" w:space="0" w:color="auto"/>
        <w:left w:val="none" w:sz="0" w:space="0" w:color="auto"/>
        <w:bottom w:val="none" w:sz="0" w:space="0" w:color="auto"/>
        <w:right w:val="none" w:sz="0" w:space="0" w:color="auto"/>
      </w:divBdr>
      <w:divsChild>
        <w:div w:id="162598557">
          <w:marLeft w:val="0"/>
          <w:marRight w:val="0"/>
          <w:marTop w:val="0"/>
          <w:marBottom w:val="0"/>
          <w:divBdr>
            <w:top w:val="none" w:sz="0" w:space="0" w:color="auto"/>
            <w:left w:val="none" w:sz="0" w:space="0" w:color="auto"/>
            <w:bottom w:val="none" w:sz="0" w:space="0" w:color="auto"/>
            <w:right w:val="none" w:sz="0" w:space="0" w:color="auto"/>
          </w:divBdr>
        </w:div>
        <w:div w:id="641543638">
          <w:marLeft w:val="0"/>
          <w:marRight w:val="0"/>
          <w:marTop w:val="0"/>
          <w:marBottom w:val="0"/>
          <w:divBdr>
            <w:top w:val="none" w:sz="0" w:space="0" w:color="auto"/>
            <w:left w:val="none" w:sz="0" w:space="0" w:color="auto"/>
            <w:bottom w:val="none" w:sz="0" w:space="0" w:color="auto"/>
            <w:right w:val="none" w:sz="0" w:space="0" w:color="auto"/>
          </w:divBdr>
        </w:div>
        <w:div w:id="689452695">
          <w:marLeft w:val="0"/>
          <w:marRight w:val="0"/>
          <w:marTop w:val="0"/>
          <w:marBottom w:val="0"/>
          <w:divBdr>
            <w:top w:val="none" w:sz="0" w:space="0" w:color="auto"/>
            <w:left w:val="none" w:sz="0" w:space="0" w:color="auto"/>
            <w:bottom w:val="none" w:sz="0" w:space="0" w:color="auto"/>
            <w:right w:val="none" w:sz="0" w:space="0" w:color="auto"/>
          </w:divBdr>
        </w:div>
        <w:div w:id="689646012">
          <w:marLeft w:val="0"/>
          <w:marRight w:val="0"/>
          <w:marTop w:val="0"/>
          <w:marBottom w:val="0"/>
          <w:divBdr>
            <w:top w:val="none" w:sz="0" w:space="0" w:color="auto"/>
            <w:left w:val="none" w:sz="0" w:space="0" w:color="auto"/>
            <w:bottom w:val="none" w:sz="0" w:space="0" w:color="auto"/>
            <w:right w:val="none" w:sz="0" w:space="0" w:color="auto"/>
          </w:divBdr>
        </w:div>
        <w:div w:id="1611662794">
          <w:marLeft w:val="0"/>
          <w:marRight w:val="0"/>
          <w:marTop w:val="0"/>
          <w:marBottom w:val="0"/>
          <w:divBdr>
            <w:top w:val="none" w:sz="0" w:space="0" w:color="auto"/>
            <w:left w:val="none" w:sz="0" w:space="0" w:color="auto"/>
            <w:bottom w:val="none" w:sz="0" w:space="0" w:color="auto"/>
            <w:right w:val="none" w:sz="0" w:space="0" w:color="auto"/>
          </w:divBdr>
        </w:div>
      </w:divsChild>
    </w:div>
    <w:div w:id="920213097">
      <w:bodyDiv w:val="1"/>
      <w:marLeft w:val="0"/>
      <w:marRight w:val="0"/>
      <w:marTop w:val="0"/>
      <w:marBottom w:val="0"/>
      <w:divBdr>
        <w:top w:val="none" w:sz="0" w:space="0" w:color="auto"/>
        <w:left w:val="none" w:sz="0" w:space="0" w:color="auto"/>
        <w:bottom w:val="none" w:sz="0" w:space="0" w:color="auto"/>
        <w:right w:val="none" w:sz="0" w:space="0" w:color="auto"/>
      </w:divBdr>
      <w:divsChild>
        <w:div w:id="456409247">
          <w:marLeft w:val="0"/>
          <w:marRight w:val="0"/>
          <w:marTop w:val="0"/>
          <w:marBottom w:val="0"/>
          <w:divBdr>
            <w:top w:val="none" w:sz="0" w:space="0" w:color="auto"/>
            <w:left w:val="none" w:sz="0" w:space="0" w:color="auto"/>
            <w:bottom w:val="none" w:sz="0" w:space="0" w:color="auto"/>
            <w:right w:val="none" w:sz="0" w:space="0" w:color="auto"/>
          </w:divBdr>
        </w:div>
        <w:div w:id="959914725">
          <w:marLeft w:val="0"/>
          <w:marRight w:val="0"/>
          <w:marTop w:val="280"/>
          <w:marBottom w:val="280"/>
          <w:divBdr>
            <w:top w:val="none" w:sz="0" w:space="0" w:color="auto"/>
            <w:left w:val="none" w:sz="0" w:space="0" w:color="auto"/>
            <w:bottom w:val="none" w:sz="0" w:space="0" w:color="auto"/>
            <w:right w:val="none" w:sz="0" w:space="0" w:color="auto"/>
          </w:divBdr>
        </w:div>
      </w:divsChild>
    </w:div>
    <w:div w:id="927421277">
      <w:bodyDiv w:val="1"/>
      <w:marLeft w:val="0"/>
      <w:marRight w:val="0"/>
      <w:marTop w:val="0"/>
      <w:marBottom w:val="0"/>
      <w:divBdr>
        <w:top w:val="none" w:sz="0" w:space="0" w:color="auto"/>
        <w:left w:val="none" w:sz="0" w:space="0" w:color="auto"/>
        <w:bottom w:val="none" w:sz="0" w:space="0" w:color="auto"/>
        <w:right w:val="none" w:sz="0" w:space="0" w:color="auto"/>
      </w:divBdr>
    </w:div>
    <w:div w:id="949505440">
      <w:bodyDiv w:val="1"/>
      <w:marLeft w:val="0"/>
      <w:marRight w:val="0"/>
      <w:marTop w:val="0"/>
      <w:marBottom w:val="0"/>
      <w:divBdr>
        <w:top w:val="none" w:sz="0" w:space="0" w:color="auto"/>
        <w:left w:val="none" w:sz="0" w:space="0" w:color="auto"/>
        <w:bottom w:val="none" w:sz="0" w:space="0" w:color="auto"/>
        <w:right w:val="none" w:sz="0" w:space="0" w:color="auto"/>
      </w:divBdr>
    </w:div>
    <w:div w:id="960920275">
      <w:bodyDiv w:val="1"/>
      <w:marLeft w:val="0"/>
      <w:marRight w:val="0"/>
      <w:marTop w:val="0"/>
      <w:marBottom w:val="0"/>
      <w:divBdr>
        <w:top w:val="none" w:sz="0" w:space="0" w:color="auto"/>
        <w:left w:val="none" w:sz="0" w:space="0" w:color="auto"/>
        <w:bottom w:val="none" w:sz="0" w:space="0" w:color="auto"/>
        <w:right w:val="none" w:sz="0" w:space="0" w:color="auto"/>
      </w:divBdr>
      <w:divsChild>
        <w:div w:id="19551357">
          <w:marLeft w:val="0"/>
          <w:marRight w:val="0"/>
          <w:marTop w:val="0"/>
          <w:marBottom w:val="0"/>
          <w:divBdr>
            <w:top w:val="none" w:sz="0" w:space="0" w:color="auto"/>
            <w:left w:val="none" w:sz="0" w:space="0" w:color="auto"/>
            <w:bottom w:val="none" w:sz="0" w:space="0" w:color="auto"/>
            <w:right w:val="none" w:sz="0" w:space="0" w:color="auto"/>
          </w:divBdr>
        </w:div>
        <w:div w:id="1885436084">
          <w:marLeft w:val="0"/>
          <w:marRight w:val="0"/>
          <w:marTop w:val="0"/>
          <w:marBottom w:val="0"/>
          <w:divBdr>
            <w:top w:val="none" w:sz="0" w:space="0" w:color="auto"/>
            <w:left w:val="none" w:sz="0" w:space="0" w:color="auto"/>
            <w:bottom w:val="none" w:sz="0" w:space="0" w:color="auto"/>
            <w:right w:val="none" w:sz="0" w:space="0" w:color="auto"/>
          </w:divBdr>
        </w:div>
      </w:divsChild>
    </w:div>
    <w:div w:id="1188176259">
      <w:bodyDiv w:val="1"/>
      <w:marLeft w:val="0"/>
      <w:marRight w:val="0"/>
      <w:marTop w:val="0"/>
      <w:marBottom w:val="0"/>
      <w:divBdr>
        <w:top w:val="none" w:sz="0" w:space="0" w:color="auto"/>
        <w:left w:val="none" w:sz="0" w:space="0" w:color="auto"/>
        <w:bottom w:val="none" w:sz="0" w:space="0" w:color="auto"/>
        <w:right w:val="none" w:sz="0" w:space="0" w:color="auto"/>
      </w:divBdr>
    </w:div>
    <w:div w:id="1276448355">
      <w:bodyDiv w:val="1"/>
      <w:marLeft w:val="0"/>
      <w:marRight w:val="0"/>
      <w:marTop w:val="0"/>
      <w:marBottom w:val="0"/>
      <w:divBdr>
        <w:top w:val="none" w:sz="0" w:space="0" w:color="auto"/>
        <w:left w:val="none" w:sz="0" w:space="0" w:color="auto"/>
        <w:bottom w:val="none" w:sz="0" w:space="0" w:color="auto"/>
        <w:right w:val="none" w:sz="0" w:space="0" w:color="auto"/>
      </w:divBdr>
    </w:div>
    <w:div w:id="1301500706">
      <w:bodyDiv w:val="1"/>
      <w:marLeft w:val="0"/>
      <w:marRight w:val="0"/>
      <w:marTop w:val="0"/>
      <w:marBottom w:val="0"/>
      <w:divBdr>
        <w:top w:val="none" w:sz="0" w:space="0" w:color="auto"/>
        <w:left w:val="none" w:sz="0" w:space="0" w:color="auto"/>
        <w:bottom w:val="none" w:sz="0" w:space="0" w:color="auto"/>
        <w:right w:val="none" w:sz="0" w:space="0" w:color="auto"/>
      </w:divBdr>
      <w:divsChild>
        <w:div w:id="391005839">
          <w:marLeft w:val="0"/>
          <w:marRight w:val="0"/>
          <w:marTop w:val="0"/>
          <w:marBottom w:val="0"/>
          <w:divBdr>
            <w:top w:val="none" w:sz="0" w:space="0" w:color="auto"/>
            <w:left w:val="none" w:sz="0" w:space="0" w:color="auto"/>
            <w:bottom w:val="none" w:sz="0" w:space="0" w:color="auto"/>
            <w:right w:val="none" w:sz="0" w:space="0" w:color="auto"/>
          </w:divBdr>
        </w:div>
        <w:div w:id="638146393">
          <w:marLeft w:val="0"/>
          <w:marRight w:val="0"/>
          <w:marTop w:val="0"/>
          <w:marBottom w:val="0"/>
          <w:divBdr>
            <w:top w:val="none" w:sz="0" w:space="0" w:color="auto"/>
            <w:left w:val="none" w:sz="0" w:space="0" w:color="auto"/>
            <w:bottom w:val="none" w:sz="0" w:space="0" w:color="auto"/>
            <w:right w:val="none" w:sz="0" w:space="0" w:color="auto"/>
          </w:divBdr>
        </w:div>
        <w:div w:id="1152792604">
          <w:marLeft w:val="0"/>
          <w:marRight w:val="0"/>
          <w:marTop w:val="0"/>
          <w:marBottom w:val="0"/>
          <w:divBdr>
            <w:top w:val="none" w:sz="0" w:space="0" w:color="auto"/>
            <w:left w:val="none" w:sz="0" w:space="0" w:color="auto"/>
            <w:bottom w:val="none" w:sz="0" w:space="0" w:color="auto"/>
            <w:right w:val="none" w:sz="0" w:space="0" w:color="auto"/>
          </w:divBdr>
        </w:div>
        <w:div w:id="1776053741">
          <w:marLeft w:val="0"/>
          <w:marRight w:val="0"/>
          <w:marTop w:val="0"/>
          <w:marBottom w:val="0"/>
          <w:divBdr>
            <w:top w:val="none" w:sz="0" w:space="0" w:color="auto"/>
            <w:left w:val="none" w:sz="0" w:space="0" w:color="auto"/>
            <w:bottom w:val="none" w:sz="0" w:space="0" w:color="auto"/>
            <w:right w:val="none" w:sz="0" w:space="0" w:color="auto"/>
          </w:divBdr>
        </w:div>
      </w:divsChild>
    </w:div>
    <w:div w:id="1391080656">
      <w:bodyDiv w:val="1"/>
      <w:marLeft w:val="0"/>
      <w:marRight w:val="0"/>
      <w:marTop w:val="0"/>
      <w:marBottom w:val="0"/>
      <w:divBdr>
        <w:top w:val="none" w:sz="0" w:space="0" w:color="auto"/>
        <w:left w:val="none" w:sz="0" w:space="0" w:color="auto"/>
        <w:bottom w:val="none" w:sz="0" w:space="0" w:color="auto"/>
        <w:right w:val="none" w:sz="0" w:space="0" w:color="auto"/>
      </w:divBdr>
      <w:divsChild>
        <w:div w:id="248588843">
          <w:marLeft w:val="0"/>
          <w:marRight w:val="0"/>
          <w:marTop w:val="0"/>
          <w:marBottom w:val="0"/>
          <w:divBdr>
            <w:top w:val="none" w:sz="0" w:space="0" w:color="auto"/>
            <w:left w:val="none" w:sz="0" w:space="0" w:color="auto"/>
            <w:bottom w:val="none" w:sz="0" w:space="0" w:color="auto"/>
            <w:right w:val="none" w:sz="0" w:space="0" w:color="auto"/>
          </w:divBdr>
        </w:div>
        <w:div w:id="1839615248">
          <w:marLeft w:val="0"/>
          <w:marRight w:val="0"/>
          <w:marTop w:val="0"/>
          <w:marBottom w:val="0"/>
          <w:divBdr>
            <w:top w:val="none" w:sz="0" w:space="0" w:color="auto"/>
            <w:left w:val="none" w:sz="0" w:space="0" w:color="auto"/>
            <w:bottom w:val="none" w:sz="0" w:space="0" w:color="auto"/>
            <w:right w:val="none" w:sz="0" w:space="0" w:color="auto"/>
          </w:divBdr>
        </w:div>
      </w:divsChild>
    </w:div>
    <w:div w:id="1436054060">
      <w:bodyDiv w:val="1"/>
      <w:marLeft w:val="0"/>
      <w:marRight w:val="0"/>
      <w:marTop w:val="0"/>
      <w:marBottom w:val="0"/>
      <w:divBdr>
        <w:top w:val="none" w:sz="0" w:space="0" w:color="auto"/>
        <w:left w:val="none" w:sz="0" w:space="0" w:color="auto"/>
        <w:bottom w:val="none" w:sz="0" w:space="0" w:color="auto"/>
        <w:right w:val="none" w:sz="0" w:space="0" w:color="auto"/>
      </w:divBdr>
      <w:divsChild>
        <w:div w:id="1116801500">
          <w:marLeft w:val="0"/>
          <w:marRight w:val="0"/>
          <w:marTop w:val="0"/>
          <w:marBottom w:val="0"/>
          <w:divBdr>
            <w:top w:val="none" w:sz="0" w:space="0" w:color="auto"/>
            <w:left w:val="none" w:sz="0" w:space="0" w:color="auto"/>
            <w:bottom w:val="none" w:sz="0" w:space="0" w:color="auto"/>
            <w:right w:val="none" w:sz="0" w:space="0" w:color="auto"/>
          </w:divBdr>
        </w:div>
        <w:div w:id="1482186294">
          <w:marLeft w:val="0"/>
          <w:marRight w:val="0"/>
          <w:marTop w:val="0"/>
          <w:marBottom w:val="0"/>
          <w:divBdr>
            <w:top w:val="none" w:sz="0" w:space="0" w:color="auto"/>
            <w:left w:val="none" w:sz="0" w:space="0" w:color="auto"/>
            <w:bottom w:val="none" w:sz="0" w:space="0" w:color="auto"/>
            <w:right w:val="none" w:sz="0" w:space="0" w:color="auto"/>
          </w:divBdr>
        </w:div>
      </w:divsChild>
    </w:div>
    <w:div w:id="1549491651">
      <w:bodyDiv w:val="1"/>
      <w:marLeft w:val="0"/>
      <w:marRight w:val="0"/>
      <w:marTop w:val="0"/>
      <w:marBottom w:val="0"/>
      <w:divBdr>
        <w:top w:val="none" w:sz="0" w:space="0" w:color="auto"/>
        <w:left w:val="none" w:sz="0" w:space="0" w:color="auto"/>
        <w:bottom w:val="none" w:sz="0" w:space="0" w:color="auto"/>
        <w:right w:val="none" w:sz="0" w:space="0" w:color="auto"/>
      </w:divBdr>
    </w:div>
    <w:div w:id="1928495057">
      <w:bodyDiv w:val="1"/>
      <w:marLeft w:val="0"/>
      <w:marRight w:val="0"/>
      <w:marTop w:val="0"/>
      <w:marBottom w:val="0"/>
      <w:divBdr>
        <w:top w:val="none" w:sz="0" w:space="0" w:color="auto"/>
        <w:left w:val="none" w:sz="0" w:space="0" w:color="auto"/>
        <w:bottom w:val="none" w:sz="0" w:space="0" w:color="auto"/>
        <w:right w:val="none" w:sz="0" w:space="0" w:color="auto"/>
      </w:divBdr>
    </w:div>
    <w:div w:id="1930188389">
      <w:bodyDiv w:val="1"/>
      <w:marLeft w:val="0"/>
      <w:marRight w:val="0"/>
      <w:marTop w:val="0"/>
      <w:marBottom w:val="0"/>
      <w:divBdr>
        <w:top w:val="none" w:sz="0" w:space="0" w:color="auto"/>
        <w:left w:val="none" w:sz="0" w:space="0" w:color="auto"/>
        <w:bottom w:val="none" w:sz="0" w:space="0" w:color="auto"/>
        <w:right w:val="none" w:sz="0" w:space="0" w:color="auto"/>
      </w:divBdr>
      <w:divsChild>
        <w:div w:id="88626443">
          <w:marLeft w:val="0"/>
          <w:marRight w:val="0"/>
          <w:marTop w:val="0"/>
          <w:marBottom w:val="0"/>
          <w:divBdr>
            <w:top w:val="none" w:sz="0" w:space="0" w:color="auto"/>
            <w:left w:val="none" w:sz="0" w:space="0" w:color="auto"/>
            <w:bottom w:val="none" w:sz="0" w:space="0" w:color="auto"/>
            <w:right w:val="none" w:sz="0" w:space="0" w:color="auto"/>
          </w:divBdr>
        </w:div>
        <w:div w:id="150566802">
          <w:marLeft w:val="0"/>
          <w:marRight w:val="0"/>
          <w:marTop w:val="0"/>
          <w:marBottom w:val="0"/>
          <w:divBdr>
            <w:top w:val="none" w:sz="0" w:space="0" w:color="auto"/>
            <w:left w:val="none" w:sz="0" w:space="0" w:color="auto"/>
            <w:bottom w:val="none" w:sz="0" w:space="0" w:color="auto"/>
            <w:right w:val="none" w:sz="0" w:space="0" w:color="auto"/>
          </w:divBdr>
        </w:div>
        <w:div w:id="175584756">
          <w:marLeft w:val="0"/>
          <w:marRight w:val="0"/>
          <w:marTop w:val="0"/>
          <w:marBottom w:val="0"/>
          <w:divBdr>
            <w:top w:val="none" w:sz="0" w:space="0" w:color="auto"/>
            <w:left w:val="none" w:sz="0" w:space="0" w:color="auto"/>
            <w:bottom w:val="none" w:sz="0" w:space="0" w:color="auto"/>
            <w:right w:val="none" w:sz="0" w:space="0" w:color="auto"/>
          </w:divBdr>
        </w:div>
        <w:div w:id="228735082">
          <w:marLeft w:val="0"/>
          <w:marRight w:val="0"/>
          <w:marTop w:val="0"/>
          <w:marBottom w:val="0"/>
          <w:divBdr>
            <w:top w:val="none" w:sz="0" w:space="0" w:color="auto"/>
            <w:left w:val="none" w:sz="0" w:space="0" w:color="auto"/>
            <w:bottom w:val="none" w:sz="0" w:space="0" w:color="auto"/>
            <w:right w:val="none" w:sz="0" w:space="0" w:color="auto"/>
          </w:divBdr>
        </w:div>
        <w:div w:id="336546218">
          <w:marLeft w:val="0"/>
          <w:marRight w:val="0"/>
          <w:marTop w:val="0"/>
          <w:marBottom w:val="0"/>
          <w:divBdr>
            <w:top w:val="none" w:sz="0" w:space="0" w:color="auto"/>
            <w:left w:val="none" w:sz="0" w:space="0" w:color="auto"/>
            <w:bottom w:val="none" w:sz="0" w:space="0" w:color="auto"/>
            <w:right w:val="none" w:sz="0" w:space="0" w:color="auto"/>
          </w:divBdr>
        </w:div>
        <w:div w:id="403066913">
          <w:marLeft w:val="0"/>
          <w:marRight w:val="0"/>
          <w:marTop w:val="0"/>
          <w:marBottom w:val="0"/>
          <w:divBdr>
            <w:top w:val="none" w:sz="0" w:space="0" w:color="auto"/>
            <w:left w:val="none" w:sz="0" w:space="0" w:color="auto"/>
            <w:bottom w:val="none" w:sz="0" w:space="0" w:color="auto"/>
            <w:right w:val="none" w:sz="0" w:space="0" w:color="auto"/>
          </w:divBdr>
        </w:div>
        <w:div w:id="550507399">
          <w:marLeft w:val="0"/>
          <w:marRight w:val="0"/>
          <w:marTop w:val="0"/>
          <w:marBottom w:val="0"/>
          <w:divBdr>
            <w:top w:val="none" w:sz="0" w:space="0" w:color="auto"/>
            <w:left w:val="none" w:sz="0" w:space="0" w:color="auto"/>
            <w:bottom w:val="none" w:sz="0" w:space="0" w:color="auto"/>
            <w:right w:val="none" w:sz="0" w:space="0" w:color="auto"/>
          </w:divBdr>
        </w:div>
        <w:div w:id="580943832">
          <w:marLeft w:val="0"/>
          <w:marRight w:val="0"/>
          <w:marTop w:val="0"/>
          <w:marBottom w:val="0"/>
          <w:divBdr>
            <w:top w:val="none" w:sz="0" w:space="0" w:color="auto"/>
            <w:left w:val="none" w:sz="0" w:space="0" w:color="auto"/>
            <w:bottom w:val="none" w:sz="0" w:space="0" w:color="auto"/>
            <w:right w:val="none" w:sz="0" w:space="0" w:color="auto"/>
          </w:divBdr>
        </w:div>
        <w:div w:id="601840809">
          <w:marLeft w:val="0"/>
          <w:marRight w:val="0"/>
          <w:marTop w:val="0"/>
          <w:marBottom w:val="0"/>
          <w:divBdr>
            <w:top w:val="none" w:sz="0" w:space="0" w:color="auto"/>
            <w:left w:val="none" w:sz="0" w:space="0" w:color="auto"/>
            <w:bottom w:val="none" w:sz="0" w:space="0" w:color="auto"/>
            <w:right w:val="none" w:sz="0" w:space="0" w:color="auto"/>
          </w:divBdr>
        </w:div>
        <w:div w:id="619067341">
          <w:marLeft w:val="0"/>
          <w:marRight w:val="0"/>
          <w:marTop w:val="0"/>
          <w:marBottom w:val="0"/>
          <w:divBdr>
            <w:top w:val="none" w:sz="0" w:space="0" w:color="auto"/>
            <w:left w:val="none" w:sz="0" w:space="0" w:color="auto"/>
            <w:bottom w:val="none" w:sz="0" w:space="0" w:color="auto"/>
            <w:right w:val="none" w:sz="0" w:space="0" w:color="auto"/>
          </w:divBdr>
        </w:div>
        <w:div w:id="764036961">
          <w:marLeft w:val="0"/>
          <w:marRight w:val="0"/>
          <w:marTop w:val="0"/>
          <w:marBottom w:val="0"/>
          <w:divBdr>
            <w:top w:val="none" w:sz="0" w:space="0" w:color="auto"/>
            <w:left w:val="none" w:sz="0" w:space="0" w:color="auto"/>
            <w:bottom w:val="none" w:sz="0" w:space="0" w:color="auto"/>
            <w:right w:val="none" w:sz="0" w:space="0" w:color="auto"/>
          </w:divBdr>
        </w:div>
        <w:div w:id="772672455">
          <w:marLeft w:val="0"/>
          <w:marRight w:val="0"/>
          <w:marTop w:val="0"/>
          <w:marBottom w:val="0"/>
          <w:divBdr>
            <w:top w:val="none" w:sz="0" w:space="0" w:color="auto"/>
            <w:left w:val="none" w:sz="0" w:space="0" w:color="auto"/>
            <w:bottom w:val="none" w:sz="0" w:space="0" w:color="auto"/>
            <w:right w:val="none" w:sz="0" w:space="0" w:color="auto"/>
          </w:divBdr>
        </w:div>
        <w:div w:id="839538736">
          <w:marLeft w:val="0"/>
          <w:marRight w:val="0"/>
          <w:marTop w:val="0"/>
          <w:marBottom w:val="0"/>
          <w:divBdr>
            <w:top w:val="none" w:sz="0" w:space="0" w:color="auto"/>
            <w:left w:val="none" w:sz="0" w:space="0" w:color="auto"/>
            <w:bottom w:val="none" w:sz="0" w:space="0" w:color="auto"/>
            <w:right w:val="none" w:sz="0" w:space="0" w:color="auto"/>
          </w:divBdr>
        </w:div>
        <w:div w:id="952906616">
          <w:marLeft w:val="0"/>
          <w:marRight w:val="0"/>
          <w:marTop w:val="0"/>
          <w:marBottom w:val="0"/>
          <w:divBdr>
            <w:top w:val="none" w:sz="0" w:space="0" w:color="auto"/>
            <w:left w:val="none" w:sz="0" w:space="0" w:color="auto"/>
            <w:bottom w:val="none" w:sz="0" w:space="0" w:color="auto"/>
            <w:right w:val="none" w:sz="0" w:space="0" w:color="auto"/>
          </w:divBdr>
        </w:div>
        <w:div w:id="962150034">
          <w:marLeft w:val="0"/>
          <w:marRight w:val="0"/>
          <w:marTop w:val="0"/>
          <w:marBottom w:val="0"/>
          <w:divBdr>
            <w:top w:val="none" w:sz="0" w:space="0" w:color="auto"/>
            <w:left w:val="none" w:sz="0" w:space="0" w:color="auto"/>
            <w:bottom w:val="none" w:sz="0" w:space="0" w:color="auto"/>
            <w:right w:val="none" w:sz="0" w:space="0" w:color="auto"/>
          </w:divBdr>
        </w:div>
        <w:div w:id="1134442910">
          <w:marLeft w:val="0"/>
          <w:marRight w:val="0"/>
          <w:marTop w:val="0"/>
          <w:marBottom w:val="0"/>
          <w:divBdr>
            <w:top w:val="none" w:sz="0" w:space="0" w:color="auto"/>
            <w:left w:val="none" w:sz="0" w:space="0" w:color="auto"/>
            <w:bottom w:val="none" w:sz="0" w:space="0" w:color="auto"/>
            <w:right w:val="none" w:sz="0" w:space="0" w:color="auto"/>
          </w:divBdr>
        </w:div>
        <w:div w:id="1189104360">
          <w:marLeft w:val="0"/>
          <w:marRight w:val="0"/>
          <w:marTop w:val="0"/>
          <w:marBottom w:val="0"/>
          <w:divBdr>
            <w:top w:val="none" w:sz="0" w:space="0" w:color="auto"/>
            <w:left w:val="none" w:sz="0" w:space="0" w:color="auto"/>
            <w:bottom w:val="none" w:sz="0" w:space="0" w:color="auto"/>
            <w:right w:val="none" w:sz="0" w:space="0" w:color="auto"/>
          </w:divBdr>
        </w:div>
        <w:div w:id="1242761985">
          <w:marLeft w:val="0"/>
          <w:marRight w:val="0"/>
          <w:marTop w:val="0"/>
          <w:marBottom w:val="0"/>
          <w:divBdr>
            <w:top w:val="none" w:sz="0" w:space="0" w:color="auto"/>
            <w:left w:val="none" w:sz="0" w:space="0" w:color="auto"/>
            <w:bottom w:val="none" w:sz="0" w:space="0" w:color="auto"/>
            <w:right w:val="none" w:sz="0" w:space="0" w:color="auto"/>
          </w:divBdr>
        </w:div>
        <w:div w:id="1492986336">
          <w:marLeft w:val="0"/>
          <w:marRight w:val="0"/>
          <w:marTop w:val="0"/>
          <w:marBottom w:val="0"/>
          <w:divBdr>
            <w:top w:val="none" w:sz="0" w:space="0" w:color="auto"/>
            <w:left w:val="none" w:sz="0" w:space="0" w:color="auto"/>
            <w:bottom w:val="none" w:sz="0" w:space="0" w:color="auto"/>
            <w:right w:val="none" w:sz="0" w:space="0" w:color="auto"/>
          </w:divBdr>
        </w:div>
        <w:div w:id="1577283820">
          <w:marLeft w:val="0"/>
          <w:marRight w:val="0"/>
          <w:marTop w:val="0"/>
          <w:marBottom w:val="0"/>
          <w:divBdr>
            <w:top w:val="none" w:sz="0" w:space="0" w:color="auto"/>
            <w:left w:val="none" w:sz="0" w:space="0" w:color="auto"/>
            <w:bottom w:val="none" w:sz="0" w:space="0" w:color="auto"/>
            <w:right w:val="none" w:sz="0" w:space="0" w:color="auto"/>
          </w:divBdr>
        </w:div>
        <w:div w:id="1641762181">
          <w:marLeft w:val="0"/>
          <w:marRight w:val="0"/>
          <w:marTop w:val="0"/>
          <w:marBottom w:val="0"/>
          <w:divBdr>
            <w:top w:val="none" w:sz="0" w:space="0" w:color="auto"/>
            <w:left w:val="none" w:sz="0" w:space="0" w:color="auto"/>
            <w:bottom w:val="none" w:sz="0" w:space="0" w:color="auto"/>
            <w:right w:val="none" w:sz="0" w:space="0" w:color="auto"/>
          </w:divBdr>
        </w:div>
        <w:div w:id="1642227606">
          <w:marLeft w:val="0"/>
          <w:marRight w:val="0"/>
          <w:marTop w:val="0"/>
          <w:marBottom w:val="0"/>
          <w:divBdr>
            <w:top w:val="none" w:sz="0" w:space="0" w:color="auto"/>
            <w:left w:val="none" w:sz="0" w:space="0" w:color="auto"/>
            <w:bottom w:val="none" w:sz="0" w:space="0" w:color="auto"/>
            <w:right w:val="none" w:sz="0" w:space="0" w:color="auto"/>
          </w:divBdr>
        </w:div>
        <w:div w:id="1665476612">
          <w:marLeft w:val="0"/>
          <w:marRight w:val="0"/>
          <w:marTop w:val="0"/>
          <w:marBottom w:val="0"/>
          <w:divBdr>
            <w:top w:val="none" w:sz="0" w:space="0" w:color="auto"/>
            <w:left w:val="none" w:sz="0" w:space="0" w:color="auto"/>
            <w:bottom w:val="none" w:sz="0" w:space="0" w:color="auto"/>
            <w:right w:val="none" w:sz="0" w:space="0" w:color="auto"/>
          </w:divBdr>
        </w:div>
        <w:div w:id="1753695246">
          <w:marLeft w:val="0"/>
          <w:marRight w:val="0"/>
          <w:marTop w:val="0"/>
          <w:marBottom w:val="0"/>
          <w:divBdr>
            <w:top w:val="none" w:sz="0" w:space="0" w:color="auto"/>
            <w:left w:val="none" w:sz="0" w:space="0" w:color="auto"/>
            <w:bottom w:val="none" w:sz="0" w:space="0" w:color="auto"/>
            <w:right w:val="none" w:sz="0" w:space="0" w:color="auto"/>
          </w:divBdr>
        </w:div>
        <w:div w:id="1893693718">
          <w:marLeft w:val="0"/>
          <w:marRight w:val="0"/>
          <w:marTop w:val="0"/>
          <w:marBottom w:val="0"/>
          <w:divBdr>
            <w:top w:val="none" w:sz="0" w:space="0" w:color="auto"/>
            <w:left w:val="none" w:sz="0" w:space="0" w:color="auto"/>
            <w:bottom w:val="none" w:sz="0" w:space="0" w:color="auto"/>
            <w:right w:val="none" w:sz="0" w:space="0" w:color="auto"/>
          </w:divBdr>
        </w:div>
        <w:div w:id="1960451782">
          <w:marLeft w:val="0"/>
          <w:marRight w:val="0"/>
          <w:marTop w:val="0"/>
          <w:marBottom w:val="0"/>
          <w:divBdr>
            <w:top w:val="none" w:sz="0" w:space="0" w:color="auto"/>
            <w:left w:val="none" w:sz="0" w:space="0" w:color="auto"/>
            <w:bottom w:val="none" w:sz="0" w:space="0" w:color="auto"/>
            <w:right w:val="none" w:sz="0" w:space="0" w:color="auto"/>
          </w:divBdr>
        </w:div>
        <w:div w:id="1967199056">
          <w:marLeft w:val="0"/>
          <w:marRight w:val="0"/>
          <w:marTop w:val="0"/>
          <w:marBottom w:val="0"/>
          <w:divBdr>
            <w:top w:val="none" w:sz="0" w:space="0" w:color="auto"/>
            <w:left w:val="none" w:sz="0" w:space="0" w:color="auto"/>
            <w:bottom w:val="none" w:sz="0" w:space="0" w:color="auto"/>
            <w:right w:val="none" w:sz="0" w:space="0" w:color="auto"/>
          </w:divBdr>
        </w:div>
        <w:div w:id="2010212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ZORY.DO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FC71FF-824B-4058-83F2-05A8D8C9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WZORY</Template>
  <TotalTime>22</TotalTime>
  <Pages>5</Pages>
  <Words>1813</Words>
  <Characters>12925</Characters>
  <Application>Microsoft Office Word</Application>
  <DocSecurity>0</DocSecurity>
  <Lines>107</Lines>
  <Paragraphs>29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vt:lpstr>
      <vt:lpstr>………………………</vt:lpstr>
    </vt:vector>
  </TitlesOfParts>
  <Company>UE Poznań</Company>
  <LinksUpToDate>false</LinksUpToDate>
  <CharactersWithSpaces>14709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Administrator</dc:creator>
  <cp:keywords/>
  <cp:lastModifiedBy>Paweł Lembicz</cp:lastModifiedBy>
  <cp:revision>7</cp:revision>
  <cp:lastPrinted>2024-08-09T08:44:00Z</cp:lastPrinted>
  <dcterms:created xsi:type="dcterms:W3CDTF">2024-08-06T10:47:00Z</dcterms:created>
  <dcterms:modified xsi:type="dcterms:W3CDTF">2024-08-26T11:26:00Z</dcterms:modified>
</cp:coreProperties>
</file>