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B2C38" w14:textId="77777777" w:rsidR="001A5058" w:rsidRDefault="001A505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24E0A221" w14:textId="3253AD45" w:rsidR="001A5058" w:rsidRDefault="001A5058" w:rsidP="001A5058">
      <w:pPr>
        <w:pStyle w:val="Standard"/>
        <w:rPr>
          <w:rFonts w:ascii="Arial" w:hAnsi="Arial" w:cs="Arial"/>
          <w:b/>
          <w:sz w:val="22"/>
          <w:szCs w:val="22"/>
        </w:rPr>
      </w:pPr>
      <w:r w:rsidRPr="001A5058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4</w:t>
      </w:r>
      <w:r w:rsidRPr="001A5058">
        <w:rPr>
          <w:rFonts w:ascii="Arial" w:hAnsi="Arial" w:cs="Arial"/>
          <w:b/>
          <w:sz w:val="22"/>
          <w:szCs w:val="22"/>
        </w:rPr>
        <w:t xml:space="preserve"> do SWZ</w:t>
      </w:r>
      <w:r w:rsidRPr="001A5058">
        <w:rPr>
          <w:rFonts w:ascii="Arial" w:hAnsi="Arial" w:cs="Arial"/>
          <w:b/>
          <w:sz w:val="22"/>
          <w:szCs w:val="22"/>
        </w:rPr>
        <w:tab/>
      </w:r>
      <w:r w:rsidRPr="001A5058">
        <w:rPr>
          <w:rFonts w:ascii="Arial" w:hAnsi="Arial" w:cs="Arial"/>
          <w:b/>
          <w:sz w:val="22"/>
          <w:szCs w:val="22"/>
        </w:rPr>
        <w:tab/>
      </w:r>
      <w:r w:rsidRPr="001A5058">
        <w:rPr>
          <w:rFonts w:ascii="Arial" w:hAnsi="Arial" w:cs="Arial"/>
          <w:b/>
          <w:sz w:val="22"/>
          <w:szCs w:val="22"/>
        </w:rPr>
        <w:tab/>
      </w:r>
      <w:r w:rsidRPr="001A5058">
        <w:rPr>
          <w:rFonts w:ascii="Arial" w:hAnsi="Arial" w:cs="Arial"/>
          <w:b/>
          <w:sz w:val="22"/>
          <w:szCs w:val="22"/>
        </w:rPr>
        <w:tab/>
      </w:r>
      <w:r w:rsidRPr="001A5058">
        <w:rPr>
          <w:rFonts w:ascii="Arial" w:hAnsi="Arial" w:cs="Arial"/>
          <w:b/>
          <w:sz w:val="22"/>
          <w:szCs w:val="22"/>
        </w:rPr>
        <w:tab/>
      </w:r>
      <w:r w:rsidRPr="001A5058">
        <w:rPr>
          <w:rFonts w:ascii="Arial" w:hAnsi="Arial" w:cs="Arial"/>
          <w:b/>
          <w:sz w:val="22"/>
          <w:szCs w:val="22"/>
        </w:rPr>
        <w:tab/>
      </w:r>
      <w:r w:rsidRPr="001A5058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1A5058">
        <w:rPr>
          <w:rFonts w:ascii="Arial" w:hAnsi="Arial" w:cs="Arial"/>
          <w:b/>
          <w:sz w:val="22"/>
          <w:szCs w:val="22"/>
        </w:rPr>
        <w:t>ZP/p/</w:t>
      </w:r>
      <w:r>
        <w:rPr>
          <w:rFonts w:ascii="Arial" w:hAnsi="Arial" w:cs="Arial"/>
          <w:b/>
          <w:sz w:val="22"/>
          <w:szCs w:val="22"/>
        </w:rPr>
        <w:t>3</w:t>
      </w:r>
      <w:r w:rsidRPr="001A5058">
        <w:rPr>
          <w:rFonts w:ascii="Arial" w:hAnsi="Arial" w:cs="Arial"/>
          <w:b/>
          <w:sz w:val="22"/>
          <w:szCs w:val="22"/>
        </w:rPr>
        <w:t>/202</w:t>
      </w:r>
      <w:r>
        <w:rPr>
          <w:rFonts w:ascii="Arial" w:hAnsi="Arial" w:cs="Arial"/>
          <w:b/>
          <w:sz w:val="22"/>
          <w:szCs w:val="22"/>
        </w:rPr>
        <w:t>3</w:t>
      </w:r>
    </w:p>
    <w:p w14:paraId="406183E0" w14:textId="77777777" w:rsidR="001A5058" w:rsidRDefault="001A505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28680F24" w14:textId="77777777" w:rsidR="001A5058" w:rsidRDefault="001A505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4D383758" w14:textId="780D1192" w:rsidR="00955169" w:rsidRDefault="00E43CE2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Część 1. Dzierżawa analizatora hematologicznego wraz z  zakupem odczynników</w:t>
      </w:r>
    </w:p>
    <w:p w14:paraId="00AFFE85" w14:textId="77777777" w:rsidR="00955169" w:rsidRDefault="00955169">
      <w:pPr>
        <w:pStyle w:val="Standard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2149"/>
        <w:gridCol w:w="2778"/>
        <w:gridCol w:w="4275"/>
        <w:gridCol w:w="4878"/>
      </w:tblGrid>
      <w:tr w:rsidR="00955169" w14:paraId="7BCB2E7E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3D5BB" w14:textId="77777777" w:rsidR="00955169" w:rsidRDefault="00E43CE2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B6796" w14:textId="77777777" w:rsidR="00955169" w:rsidRDefault="00E43CE2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asortymentu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1C639" w14:textId="77777777" w:rsidR="00955169" w:rsidRDefault="00E43CE2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E65A7" w14:textId="77777777" w:rsidR="00955169" w:rsidRDefault="00E43CE2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Parametry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techniczno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użytkowe</w:t>
            </w:r>
          </w:p>
          <w:p w14:paraId="1A9E95B5" w14:textId="77777777" w:rsidR="00955169" w:rsidRDefault="00E43CE2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(wielkość, rozmiar, typ, itp.)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E1F2A8" w14:textId="77777777" w:rsidR="00955169" w:rsidRDefault="00E43CE2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Szczegółowy opis przedmiotu zamówienia</w:t>
            </w:r>
          </w:p>
          <w:p w14:paraId="0726EFD3" w14:textId="77777777" w:rsidR="00955169" w:rsidRDefault="00955169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55169" w14:paraId="06BC2326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3847F" w14:textId="77777777" w:rsidR="00955169" w:rsidRDefault="00E43CE2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BEC531" w14:textId="77777777" w:rsidR="00955169" w:rsidRDefault="00E43CE2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9FC676" w14:textId="77777777" w:rsidR="00955169" w:rsidRDefault="00E43CE2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D78A7" w14:textId="77777777" w:rsidR="00955169" w:rsidRDefault="00E43CE2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5A8C11" w14:textId="77777777" w:rsidR="00955169" w:rsidRDefault="00E43CE2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955169" w14:paraId="55AB9CCF" w14:textId="77777777">
        <w:trPr>
          <w:trHeight w:val="997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D1A67" w14:textId="77777777" w:rsidR="00955169" w:rsidRDefault="00E43CE2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0AEB0F" w14:textId="77777777" w:rsidR="00955169" w:rsidRDefault="00E43CE2">
            <w:pPr>
              <w:pStyle w:val="Standard"/>
              <w:snapToGrid w:val="0"/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Analizator CBC,CBC+5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diff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+ RET + płyny z jam ciała</w:t>
            </w:r>
          </w:p>
          <w:p w14:paraId="55E89236" w14:textId="77777777" w:rsidR="00955169" w:rsidRDefault="00955169">
            <w:pPr>
              <w:pStyle w:val="Standard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3E13E2" w14:textId="77777777" w:rsidR="00955169" w:rsidRDefault="009551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68D9F04" w14:textId="77777777" w:rsidR="00955169" w:rsidRDefault="00955169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1A3518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1/36 miesięcy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3AEFC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Dopuszcza się analizator fabrycznie nowy, rok produkcji 2022</w:t>
            </w:r>
          </w:p>
          <w:p w14:paraId="0B0CEE83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Wydajność analizatora  minimum 60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ozn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./ godz.</w:t>
            </w:r>
          </w:p>
          <w:p w14:paraId="0A26DFD3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Automatyczny  podajnik próbek</w:t>
            </w:r>
          </w:p>
          <w:p w14:paraId="10655907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Analizator wyposażony w automatyczny podajnik próbek z mieszalnikiem na minimum 20 próbek oczekujących na analizę</w:t>
            </w:r>
          </w:p>
          <w:p w14:paraId="1B151DF0" w14:textId="77777777" w:rsidR="00955169" w:rsidRDefault="00E43CE2">
            <w:pPr>
              <w:pStyle w:val="Standard"/>
              <w:shd w:val="clear" w:color="auto" w:fill="FFFFFF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Analizator składający się z jednostki analitycznej ze zintegrowanym układem pneumatycznym, wewnętrznego systemu sterującego z dotykowym wyświetlaczem LCD, wyposażony w zewnętrzną drukarkę laserową, system podtrzymania napięcia – UPS, zewnętrzny czytnik kodów kreskowych oraz czytnik kodów wbudowany w podajnik automatycznie odczytujący próbki</w:t>
            </w:r>
          </w:p>
          <w:p w14:paraId="142A431A" w14:textId="77777777" w:rsidR="00955169" w:rsidRDefault="00E43CE2">
            <w:pPr>
              <w:pStyle w:val="Standard"/>
              <w:shd w:val="clear" w:color="auto" w:fill="FFFFFF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Automatyczne mycie sondy po każdym pobraniu</w:t>
            </w:r>
          </w:p>
          <w:p w14:paraId="345CF7CA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Kontrola poziomu odczynników z graficzną informacją</w:t>
            </w:r>
          </w:p>
          <w:p w14:paraId="6D9AD4D3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- Aparat wyposażony w  czujnik ścieków</w:t>
            </w:r>
          </w:p>
          <w:p w14:paraId="67E397B0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Instrukcja obsługi w języku polskim</w:t>
            </w:r>
          </w:p>
          <w:p w14:paraId="213F30A7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Codzienna procedura konserwacyjna wyłączająca analizator z pracy na maksymalnie 30 min./dobę – automatyczna (niewymagająca ingerencji w analizator)</w:t>
            </w:r>
          </w:p>
          <w:p w14:paraId="103A37DC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-Analizator, odczynniki, materiały kontrole od jednego producenta</w:t>
            </w:r>
          </w:p>
          <w:p w14:paraId="247DA773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-Osobny tryb pracy ręcznej</w:t>
            </w:r>
          </w:p>
          <w:p w14:paraId="038DA6EC" w14:textId="77777777" w:rsidR="00955169" w:rsidRDefault="009551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494B6D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-Automatyczna analiza następujących parametrów:</w:t>
            </w:r>
          </w:p>
          <w:p w14:paraId="52DF8E6E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Parametry krwinek czerwonych: RBC (liczba erytrocytów), HGB (stężenie hemoglobiny), HCT (hematokryt), MCHC (średnie stężenie hemoglobiny w krwince), MCH (średnia masa hemoglobiny w krwince), MCV (średnia objętość krwinki), RDW-SD , RDW-CV (wskaźnik anizocytozy erytrocytów), NRBC (jądrzaste krwinki czerwone #/%). Wynik wyrażony w wartościach bezwzględnych i procentowych.</w:t>
            </w:r>
          </w:p>
          <w:p w14:paraId="6567F949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Parametry dla RET: wynik wyrażony w wartościach bezwzględnych i procentowych, IRF.</w:t>
            </w:r>
          </w:p>
          <w:p w14:paraId="60D351DD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Parametry krwinek białych: WBC (liczba leukocytów)</w:t>
            </w:r>
          </w:p>
          <w:p w14:paraId="25F87E27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NEUT(neutrofile %,#), LYMPH (limfocyty%,#), MONO(monocyty%,#), EO(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eozynofile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%,#), BASO(bazofile%,#), IG(niedojrzałe granulocyty%,#). Wynik wyrażony w wartościach bezwzględnych i procentowych</w:t>
            </w:r>
          </w:p>
          <w:p w14:paraId="490C631A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Parametry płytek krwi: PLT (liczba płytek), MPV (średnia objętość płytki), PCT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trombokryt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), PDW (wskaźnik anizocytozy płytek).</w:t>
            </w:r>
          </w:p>
          <w:p w14:paraId="7B42BA7A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Automatyczny pomiar i różnicowanie WBC przy zastosowaniu techniki fluorescencyjnej z wykorzystaniem światła lasera.</w:t>
            </w:r>
          </w:p>
          <w:p w14:paraId="49F8D8F3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Minimalny zakres liniowości parametrów, z pierwszego oznaczenia bez rozcieńczania:</w:t>
            </w:r>
          </w:p>
          <w:p w14:paraId="6AA7BB37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- WBC do 400x10³/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μl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FC61E1F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- PLT do 5000x10³/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μl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E7E6FBE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- HGB do 26 g/dl,</w:t>
            </w:r>
          </w:p>
          <w:p w14:paraId="439195C1" w14:textId="77777777" w:rsidR="00955169" w:rsidRDefault="00E43CE2">
            <w:pPr>
              <w:pStyle w:val="Standard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 xml:space="preserve">        - RBC do 8,6x10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μl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32ADCC3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- HCT do 75%</w:t>
            </w:r>
          </w:p>
          <w:p w14:paraId="5E6401E6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Pomiar próbek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leukopenicznych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 wydłużonym czasie zapewniającym dokładny pomiar WBC.</w:t>
            </w:r>
          </w:p>
          <w:p w14:paraId="3DA9C552" w14:textId="77777777" w:rsidR="00955169" w:rsidRDefault="00E43CE2">
            <w:pPr>
              <w:pStyle w:val="Standard"/>
              <w:tabs>
                <w:tab w:val="left" w:pos="1494"/>
                <w:tab w:val="left" w:pos="1560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- Możliwość pomiaru w trybach podania: zamknięty z podajnika, otwarty,  mikrometoda (objętość próbki 0,5 ml)</w:t>
            </w:r>
          </w:p>
          <w:p w14:paraId="3503C2CA" w14:textId="77777777" w:rsidR="00955169" w:rsidRDefault="00E43CE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Możliwość wykonania oznaczeń z próbki mikro, objętość pobieranej próbki nie większa niż 40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μl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C549DB7" w14:textId="77777777" w:rsidR="00955169" w:rsidRDefault="00E43CE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Możliwość automatycznego oznaczania płytek metodą optyczną eliminująca możliwość interferencji z krwinkami czerwonymi.</w:t>
            </w:r>
          </w:p>
          <w:p w14:paraId="053369A0" w14:textId="77777777" w:rsidR="00955169" w:rsidRDefault="00E43CE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Możliwość analizy płynów z jam ciała (tj.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pmr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płyn surowiczy, płyn z jamy otrzewnowej) bez potrzeby użycia dodatkowych odczynników</w:t>
            </w:r>
          </w:p>
          <w:p w14:paraId="2067C138" w14:textId="77777777" w:rsidR="00955169" w:rsidRDefault="00E43CE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Automatyczne czyszczenie sondy pobierającej</w:t>
            </w:r>
          </w:p>
          <w:p w14:paraId="476C4D9F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Flagowanie wyników patologicznych</w:t>
            </w:r>
          </w:p>
          <w:p w14:paraId="20EAA328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Flagowanie skrzepów i form niedojrzałych</w:t>
            </w:r>
          </w:p>
          <w:p w14:paraId="6481F990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Przyłączenie analizatorów do sieci szpitalnej na koszt Wykonawcy, komunikacja z LIS dwustronna</w:t>
            </w:r>
          </w:p>
          <w:p w14:paraId="695006D1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Możliwość zgrywania wyników na nośnik elektroniczny</w:t>
            </w:r>
          </w:p>
          <w:p w14:paraId="3E226348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Gwarancja techniczna przez cały okres trwania umowy uwzględniająca koszty napraw, wymiany podzespołów, określonych przeglądów serwisowych oraz wszystkie części i akcesoria nieuwzględnione w formularzu ofertowym. Oferta musi zawierać pełen asortyment zarówno wymaganego sprzętu jak i odczynników</w:t>
            </w:r>
          </w:p>
          <w:p w14:paraId="48479573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Dostawa oraz instalacja analizatora na koszt Wykonawcy. Wykonawca bezpłatnie przeszkoli personel laboratorium w zakresie obsługi analizatorów jak i interpretacji wyników. W czasie trwania umowy zalecane przez producenta przeglądy i wszystkie naprawy aparatu dzierżawionego będą wykonywane przez serwis i na koszt Wykonawcy.</w:t>
            </w:r>
          </w:p>
          <w:p w14:paraId="7D3D43E0" w14:textId="77777777" w:rsidR="00955169" w:rsidRDefault="00E43CE2">
            <w:pPr>
              <w:pStyle w:val="Standard"/>
              <w:tabs>
                <w:tab w:val="left" w:pos="1560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Możliwość zgłoszenia awarii 7 dni w tygodniu.</w:t>
            </w:r>
          </w:p>
          <w:p w14:paraId="3261E62E" w14:textId="77777777" w:rsidR="00955169" w:rsidRDefault="00E43CE2">
            <w:pPr>
              <w:pStyle w:val="Standard"/>
              <w:tabs>
                <w:tab w:val="left" w:pos="15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Czas reakcji serwisu do 24 h od momentu zgłoszenia awarii.</w:t>
            </w:r>
          </w:p>
          <w:p w14:paraId="70C84BA6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Usunięcie awarii w czasie nie dłuższym niż 24 godziny</w:t>
            </w:r>
          </w:p>
          <w:p w14:paraId="4F0B1072" w14:textId="77777777" w:rsidR="00955169" w:rsidRDefault="009551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682CA0A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Możliwość niezwłocznego kontaktu z serwisem.</w:t>
            </w:r>
          </w:p>
          <w:p w14:paraId="128DDFAA" w14:textId="77777777" w:rsidR="00955169" w:rsidRDefault="00E43CE2">
            <w:pPr>
              <w:pStyle w:val="Standard"/>
              <w:tabs>
                <w:tab w:val="left" w:pos="36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Należy podać nazwę i adres serwisu oraz nr tel./fax pod który będą zgłaszane usterki. Bezpłatny serwis techniczny w czasie trwania umowy. Serwis dostępny 24 h na dobę. Usunięcie awarii w czasie nie dłuższym niż 24 godziny.</w:t>
            </w:r>
          </w:p>
          <w:p w14:paraId="67CA4450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Zapewnienie aparatu zastępczego (lub zastępcza wymiana uszkodzonej jego części) w przypadku naprawy niemożliwej do wykonania  w ciągu w/w czasu.</w:t>
            </w:r>
          </w:p>
        </w:tc>
      </w:tr>
      <w:tr w:rsidR="00955169" w14:paraId="66D8809A" w14:textId="77777777">
        <w:trPr>
          <w:trHeight w:val="566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B92AF" w14:textId="77777777" w:rsidR="00955169" w:rsidRDefault="00E43CE2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7031D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Odczynniki hematologiczne,</w:t>
            </w:r>
          </w:p>
          <w:p w14:paraId="6BAF4A92" w14:textId="77777777" w:rsidR="00955169" w:rsidRDefault="00955169">
            <w:pPr>
              <w:pStyle w:val="Standard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CCB77A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materiał kontrolny,</w:t>
            </w:r>
          </w:p>
          <w:p w14:paraId="4EA7A7A6" w14:textId="77777777" w:rsidR="00955169" w:rsidRDefault="00955169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D76D77" w14:textId="77777777" w:rsidR="00955169" w:rsidRDefault="00E43CE2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preparat czyszczący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F1FC2" w14:textId="77777777" w:rsidR="00955169" w:rsidRDefault="00E43CE2">
            <w:pPr>
              <w:pStyle w:val="Standard"/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1.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78 000/36 mies. oznaczeń CBC+ 5DIFF,</w:t>
            </w:r>
          </w:p>
          <w:p w14:paraId="14C231CB" w14:textId="77777777" w:rsidR="00955169" w:rsidRPr="001A5058" w:rsidRDefault="00E43CE2">
            <w:pPr>
              <w:pStyle w:val="Standard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2.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54 000/36 mies.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CBC</w:t>
            </w:r>
          </w:p>
          <w:p w14:paraId="78FCE3D4" w14:textId="77777777" w:rsidR="00955169" w:rsidRPr="001A5058" w:rsidRDefault="00E43CE2">
            <w:pPr>
              <w:pStyle w:val="Standard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  <w:t xml:space="preserve">3. </w:t>
            </w:r>
            <w:r>
              <w:rPr>
                <w:rFonts w:ascii="Arial" w:hAnsi="Arial" w:cs="Arial"/>
                <w:iCs/>
                <w:sz w:val="22"/>
                <w:szCs w:val="22"/>
                <w:lang w:val="en-US"/>
              </w:rPr>
              <w:t>6600</w:t>
            </w:r>
          </w:p>
          <w:p w14:paraId="18BD26DE" w14:textId="77777777" w:rsidR="00955169" w:rsidRDefault="00E43CE2">
            <w:pPr>
              <w:pStyle w:val="Standard"/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 xml:space="preserve">CBC+5diff+ret/36 </w:t>
            </w:r>
            <w:proofErr w:type="spellStart"/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mies</w:t>
            </w:r>
            <w:proofErr w:type="spellEnd"/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.</w:t>
            </w:r>
          </w:p>
          <w:p w14:paraId="2B88C706" w14:textId="77777777" w:rsidR="00955169" w:rsidRDefault="00E43CE2">
            <w:pPr>
              <w:pStyle w:val="Standard"/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4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. Płyny z jam ciała ok. 600ozn./36 mies.</w:t>
            </w:r>
          </w:p>
          <w:p w14:paraId="394809BF" w14:textId="77777777" w:rsidR="00955169" w:rsidRDefault="00E43CE2">
            <w:pPr>
              <w:pStyle w:val="Standard"/>
              <w:snapToGrid w:val="0"/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5. </w:t>
            </w:r>
            <w:r>
              <w:rPr>
                <w:rFonts w:ascii="Arial" w:hAnsi="Arial" w:cs="Arial"/>
                <w:sz w:val="22"/>
                <w:szCs w:val="22"/>
              </w:rPr>
              <w:t>Kontrola codzienna morfologii i retykulocytów wykonywana jest raz dziennie na trzech poziomach H, N i L/wg oferenta</w:t>
            </w:r>
          </w:p>
          <w:p w14:paraId="1BAAB2B0" w14:textId="77777777" w:rsidR="00955169" w:rsidRDefault="00955169">
            <w:pPr>
              <w:pStyle w:val="Standard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E95DCA8" w14:textId="77777777" w:rsidR="00955169" w:rsidRDefault="00E43CE2">
            <w:pPr>
              <w:pStyle w:val="Standard"/>
              <w:snapToGrid w:val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 Ilość adekwatna od liczby wykonywanych oznaczeń</w:t>
            </w:r>
          </w:p>
          <w:p w14:paraId="563F0740" w14:textId="77777777" w:rsidR="00955169" w:rsidRDefault="009551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60395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Odczynniki, materiały kontrole, analizator od jednego producenta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44318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Wszystkie odczynniki niezbędne do badań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bezcyjankowe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44ED300" w14:textId="77777777" w:rsidR="00955169" w:rsidRDefault="00E43CE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Karty charakterystyk stosowanych odczynników</w:t>
            </w:r>
          </w:p>
          <w:p w14:paraId="1F017454" w14:textId="77777777" w:rsidR="00955169" w:rsidRDefault="00E43CE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dostarczone z pierwszą dostawą. Bieżąca aktualizacja kart charakterystyk w trakcie trwania umowy.</w:t>
            </w:r>
          </w:p>
          <w:p w14:paraId="15D87F61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Krew kontrolna w probówkach systemu zamkniętego do pracy z automatycznym podajnikiem. Krew kontrolna na trzech poziomach w tym RET. W ilości gwarantującej codzienne wykonanie kontroli na analizatorze zgodnie z datą przydatności na opakowaniu.</w:t>
            </w:r>
          </w:p>
          <w:p w14:paraId="2D9B5CF1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Parametry materiałów kontrolnych wczytywane za pomocą kodu kreskowego lub nośnika trwałego</w:t>
            </w:r>
          </w:p>
          <w:p w14:paraId="3C4965F0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Analizator wraz z odczynnikami, preparatem czyszczącym i krwią kontrolną posiadać muszą deklaracje zgodności CE</w:t>
            </w:r>
          </w:p>
        </w:tc>
      </w:tr>
      <w:tr w:rsidR="00955169" w14:paraId="37A090FA" w14:textId="77777777">
        <w:trPr>
          <w:trHeight w:val="410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CA7AAD" w14:textId="77777777" w:rsidR="00955169" w:rsidRDefault="00E43CE2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D0F372" w14:textId="77777777" w:rsidR="00955169" w:rsidRDefault="00E43CE2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Materiały zużywalne:</w:t>
            </w:r>
          </w:p>
          <w:p w14:paraId="3F1849E2" w14:textId="77777777" w:rsidR="00955169" w:rsidRDefault="00E43CE2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 mikroskop</w:t>
            </w:r>
          </w:p>
          <w:p w14:paraId="21D74B67" w14:textId="77777777" w:rsidR="00955169" w:rsidRDefault="00E43CE2">
            <w:pPr>
              <w:pStyle w:val="Standard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</w:p>
          <w:p w14:paraId="5B748243" w14:textId="77777777" w:rsidR="00955169" w:rsidRDefault="00955169">
            <w:pPr>
              <w:pStyle w:val="Standard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B627FF" w14:textId="77777777" w:rsidR="00955169" w:rsidRDefault="00955169">
            <w:pPr>
              <w:pStyle w:val="Standard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292B71" w14:textId="77777777" w:rsidR="00955169" w:rsidRDefault="00955169">
            <w:pPr>
              <w:pStyle w:val="Standard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7464AC" w14:textId="77777777" w:rsidR="00955169" w:rsidRDefault="00955169">
            <w:pPr>
              <w:pStyle w:val="Standard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46CD0F" w14:textId="77777777" w:rsidR="00955169" w:rsidRDefault="00955169">
            <w:pPr>
              <w:pStyle w:val="Standard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35A997" w14:textId="77777777" w:rsidR="00955169" w:rsidRDefault="00955169">
            <w:pPr>
              <w:pStyle w:val="Standard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B7EA7C" w14:textId="77777777" w:rsidR="00955169" w:rsidRDefault="00955169">
            <w:pPr>
              <w:pStyle w:val="Standard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AB6EB7" w14:textId="77777777" w:rsidR="00955169" w:rsidRDefault="00955169">
            <w:pPr>
              <w:pStyle w:val="Standard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C329E3" w14:textId="77777777" w:rsidR="00955169" w:rsidRDefault="00955169">
            <w:pPr>
              <w:pStyle w:val="Standard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2AC747" w14:textId="77777777" w:rsidR="00955169" w:rsidRDefault="00955169">
            <w:pPr>
              <w:pStyle w:val="Standard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2BB227" w14:textId="77777777" w:rsidR="00955169" w:rsidRDefault="00955169">
            <w:pPr>
              <w:pStyle w:val="Standard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5E6753" w14:textId="77777777" w:rsidR="00955169" w:rsidRDefault="00955169">
            <w:pPr>
              <w:pStyle w:val="Standard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AE96E0" w14:textId="77777777" w:rsidR="00955169" w:rsidRDefault="00955169">
            <w:pPr>
              <w:pStyle w:val="Standard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DEB9EE" w14:textId="77777777" w:rsidR="00955169" w:rsidRDefault="00955169">
            <w:pPr>
              <w:pStyle w:val="Standard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8FE642" w14:textId="77777777" w:rsidR="00955169" w:rsidRDefault="00955169">
            <w:pPr>
              <w:pStyle w:val="Standard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815A0D" w14:textId="77777777" w:rsidR="00955169" w:rsidRDefault="00955169">
            <w:pPr>
              <w:pStyle w:val="Standard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688A07" w14:textId="77777777" w:rsidR="00955169" w:rsidRDefault="00955169">
            <w:pPr>
              <w:pStyle w:val="Standard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83F833" w14:textId="77777777" w:rsidR="00955169" w:rsidRDefault="00955169">
            <w:pPr>
              <w:pStyle w:val="Standard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D58534" w14:textId="77777777" w:rsidR="00955169" w:rsidRDefault="00955169">
            <w:pPr>
              <w:pStyle w:val="Standard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642370" w14:textId="77777777" w:rsidR="00955169" w:rsidRDefault="00E43CE2">
            <w:pPr>
              <w:pStyle w:val="Standard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- inne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049CB" w14:textId="77777777" w:rsidR="00955169" w:rsidRDefault="00E43CE2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1/36mies.</w:t>
            </w:r>
          </w:p>
          <w:p w14:paraId="170BBCE0" w14:textId="77777777" w:rsidR="00955169" w:rsidRDefault="00955169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859A5D5" w14:textId="77777777" w:rsidR="00955169" w:rsidRDefault="00955169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23BA8A7" w14:textId="77777777" w:rsidR="00955169" w:rsidRDefault="00955169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5C20B6D" w14:textId="77777777" w:rsidR="00955169" w:rsidRDefault="00955169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03D18A3" w14:textId="77777777" w:rsidR="00955169" w:rsidRDefault="00955169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2E6D5FE" w14:textId="77777777" w:rsidR="00955169" w:rsidRDefault="00955169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CAC54A1" w14:textId="77777777" w:rsidR="00955169" w:rsidRDefault="00955169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A3778C9" w14:textId="77777777" w:rsidR="00955169" w:rsidRDefault="00955169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D2177C3" w14:textId="77777777" w:rsidR="00955169" w:rsidRDefault="00955169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7FC24EB" w14:textId="77777777" w:rsidR="00955169" w:rsidRDefault="00955169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F21243C" w14:textId="77777777" w:rsidR="00955169" w:rsidRDefault="00955169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577FBF9" w14:textId="77777777" w:rsidR="00955169" w:rsidRDefault="00955169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70A41C4" w14:textId="77777777" w:rsidR="00955169" w:rsidRDefault="00955169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F89F2E4" w14:textId="77777777" w:rsidR="00955169" w:rsidRDefault="00955169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A37E3E1" w14:textId="77777777" w:rsidR="00955169" w:rsidRDefault="00955169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D2DFA6B" w14:textId="77777777" w:rsidR="00955169" w:rsidRDefault="00955169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7EC9FE2" w14:textId="77777777" w:rsidR="00955169" w:rsidRDefault="00955169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BBE5FBE" w14:textId="77777777" w:rsidR="00955169" w:rsidRDefault="00955169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16BD02C" w14:textId="77777777" w:rsidR="00955169" w:rsidRDefault="00955169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01DDAC8" w14:textId="77777777" w:rsidR="00955169" w:rsidRDefault="00955169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45F30B4" w14:textId="77777777" w:rsidR="00955169" w:rsidRDefault="00955169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2DC4196" w14:textId="77777777" w:rsidR="00955169" w:rsidRDefault="00955169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6CCC2F4" w14:textId="77777777" w:rsidR="00955169" w:rsidRDefault="00955169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85FCB9B" w14:textId="77777777" w:rsidR="00955169" w:rsidRDefault="00955169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E12BF4B" w14:textId="77777777" w:rsidR="00955169" w:rsidRDefault="00E43CE2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-wg oferenta</w:t>
            </w:r>
          </w:p>
          <w:p w14:paraId="20416CC0" w14:textId="77777777" w:rsidR="00955169" w:rsidRDefault="00955169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5C6B0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- Mikroskop do obserwacji w jasnym polu widzenia.</w:t>
            </w:r>
          </w:p>
          <w:p w14:paraId="57D4059C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Możliwość zastosowania ciemnego pola widzenia  i kontrastu fazowego</w:t>
            </w:r>
          </w:p>
          <w:p w14:paraId="7BE809EF" w14:textId="77777777" w:rsidR="00955169" w:rsidRDefault="009551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214FB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Optyka korygowana do nieskończoności</w:t>
            </w:r>
          </w:p>
          <w:p w14:paraId="097B9E1B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Długość optyczna obiektywów 45</w:t>
            </w:r>
          </w:p>
          <w:p w14:paraId="666D18C5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Uchwyt rewolwerowy obiektywów minimum na 4 gniazda</w:t>
            </w:r>
          </w:p>
          <w:p w14:paraId="025C28CB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Śruby mikro/makro do ustawienia ostrości, regulacja siły bez używania narzędzi</w:t>
            </w:r>
          </w:p>
          <w:p w14:paraId="2495A474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Diodowy wskaźnik natężenia oświetlenia, intensywność ustawionego oświetlenia widoczna z odległości</w:t>
            </w:r>
          </w:p>
          <w:p w14:paraId="1BD2AC2B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Zewnętrzny łatwy do wymiany zasilacz , z możliwością zamocowania na stałe do statywu mikroskopu</w:t>
            </w:r>
          </w:p>
          <w:p w14:paraId="7C23B6AC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Uchwyt do wygodnego przenoszenia całego mikroskopu</w:t>
            </w:r>
          </w:p>
          <w:p w14:paraId="0123E883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Pokrętło płynnej regulacji siły światła</w:t>
            </w:r>
          </w:p>
          <w:p w14:paraId="599B9F2A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Możliwość łatwej wymiany oświetlacza halogenowego na oświetlacz diodowy LED</w:t>
            </w:r>
          </w:p>
          <w:p w14:paraId="4235E33A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Wbudowana w statyw bezpośrednio pod kondensorem lampa halogenowa o mocy min. 30 W, fabrycznie wycentrowana (eliminuje konieczność centrowania po wymianie żarówki)</w:t>
            </w:r>
          </w:p>
          <w:p w14:paraId="285B0CA0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Miejsce do umieszczenia filtrów barwnych z zamocowaniem uniemożliwiającym ich wypadnięcie</w:t>
            </w:r>
          </w:p>
          <w:p w14:paraId="480026D3" w14:textId="77777777" w:rsidR="00955169" w:rsidRDefault="00E43CE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W każdym momencie możliwość zastosowania zasilacza bateryjnego  </w:t>
            </w:r>
          </w:p>
          <w:p w14:paraId="48DE382E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Tubus binokularowy z możliwością regulacji rozstawu</w:t>
            </w:r>
          </w:p>
          <w:p w14:paraId="101E1A26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Okulary dostosowane do pracy w okularach korygujących wady wzroku</w:t>
            </w:r>
          </w:p>
          <w:p w14:paraId="6DDDEAAF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Szerokopolowe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pole widzenia 20 mm, z możliwością domontowania dodatkowych podziałek albo krzyża</w:t>
            </w:r>
          </w:p>
          <w:p w14:paraId="75813554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Ergonomiczne osłony gumowe</w:t>
            </w:r>
          </w:p>
          <w:p w14:paraId="78E7DE29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Klasy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planachromat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(z korekcją aberracji chromatycznej 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planatycznej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242B477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Stolik mechaniczny zastosowany na stałe</w:t>
            </w:r>
          </w:p>
          <w:p w14:paraId="041236E4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- Możliwość przesuwania preparatu w osi X, Y, skala przesuwu x, y</w:t>
            </w:r>
          </w:p>
          <w:p w14:paraId="49D06D78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Obiektywy do obserwacji w jasnym polu   4x/N.A.0,10,  10x/N.A. 0,25 , 40x/N.A. 0,65, 100x/N.A. 1,25 olejowy</w:t>
            </w:r>
          </w:p>
          <w:p w14:paraId="5C04679D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Kondensor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Abbego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z regulowaną przysłoną aperturową, N.A. 1,25 Do obserwacji z obiektywami 4x ... 100x,                                                                                               W pełni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centrowalny</w:t>
            </w:r>
            <w:proofErr w:type="spellEnd"/>
          </w:p>
          <w:p w14:paraId="3007D5C4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Dodatkowa technika obserwacji kontrast fazowy, moduł ciemnego pola widzenia.</w:t>
            </w:r>
          </w:p>
        </w:tc>
      </w:tr>
    </w:tbl>
    <w:p w14:paraId="25E69951" w14:textId="77777777" w:rsidR="00955169" w:rsidRDefault="00955169">
      <w:pPr>
        <w:pStyle w:val="Standard"/>
        <w:rPr>
          <w:rFonts w:ascii="Arial" w:hAnsi="Arial" w:cs="Arial"/>
          <w:sz w:val="22"/>
          <w:szCs w:val="22"/>
        </w:rPr>
      </w:pPr>
    </w:p>
    <w:p w14:paraId="1A9491BE" w14:textId="77777777" w:rsidR="00955169" w:rsidRDefault="00955169">
      <w:pPr>
        <w:pStyle w:val="Standard"/>
        <w:ind w:left="5664"/>
        <w:jc w:val="center"/>
        <w:rPr>
          <w:rFonts w:ascii="Arial" w:hAnsi="Arial" w:cs="Arial"/>
          <w:sz w:val="22"/>
          <w:szCs w:val="22"/>
        </w:rPr>
      </w:pPr>
    </w:p>
    <w:p w14:paraId="50A7ED48" w14:textId="77777777" w:rsidR="00955169" w:rsidRDefault="00955169">
      <w:pPr>
        <w:pageBreakBefore/>
        <w:suppressAutoHyphens w:val="0"/>
      </w:pPr>
    </w:p>
    <w:p w14:paraId="5546B307" w14:textId="77777777" w:rsidR="00955169" w:rsidRDefault="00E43CE2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Część 2. Dzierżawa analizatora  do elektroforezy  żelowej wraz z zakupem odczynników</w:t>
      </w:r>
    </w:p>
    <w:p w14:paraId="144F0583" w14:textId="77777777" w:rsidR="00955169" w:rsidRDefault="00955169">
      <w:pPr>
        <w:pStyle w:val="Standard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"/>
        <w:gridCol w:w="2731"/>
        <w:gridCol w:w="2295"/>
        <w:gridCol w:w="3684"/>
        <w:gridCol w:w="5352"/>
      </w:tblGrid>
      <w:tr w:rsidR="00955169" w14:paraId="55E6A9D4" w14:textId="7777777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330A2" w14:textId="77777777" w:rsidR="00955169" w:rsidRDefault="00E43CE2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D799D" w14:textId="77777777" w:rsidR="00955169" w:rsidRDefault="00E43CE2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asortymentu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F4FCE" w14:textId="77777777" w:rsidR="00955169" w:rsidRDefault="00E43CE2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D56E85" w14:textId="77777777" w:rsidR="00955169" w:rsidRDefault="00E43CE2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Parametry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techniczno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użytkowe</w:t>
            </w:r>
          </w:p>
          <w:p w14:paraId="6BFDD89A" w14:textId="77777777" w:rsidR="00955169" w:rsidRDefault="00E43CE2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(wielkość, rozmiar, typ, itp.)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B888E" w14:textId="77777777" w:rsidR="00955169" w:rsidRDefault="00E43CE2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Szczegółowy opis</w:t>
            </w:r>
          </w:p>
          <w:p w14:paraId="2C6265C3" w14:textId="77777777" w:rsidR="00955169" w:rsidRDefault="00955169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55169" w14:paraId="6F0EF8D7" w14:textId="7777777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E0881" w14:textId="77777777" w:rsidR="00955169" w:rsidRDefault="00E43CE2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8F236" w14:textId="77777777" w:rsidR="00955169" w:rsidRDefault="00E43CE2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0E80B" w14:textId="77777777" w:rsidR="00955169" w:rsidRDefault="00E43CE2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72D386" w14:textId="77777777" w:rsidR="00955169" w:rsidRDefault="00E43CE2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99A3C" w14:textId="77777777" w:rsidR="00955169" w:rsidRDefault="00E43CE2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955169" w14:paraId="599BFA36" w14:textId="7777777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D327D" w14:textId="77777777" w:rsidR="00955169" w:rsidRDefault="00E43CE2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6ABEA" w14:textId="77777777" w:rsidR="00955169" w:rsidRDefault="00E43CE2">
            <w:pPr>
              <w:pStyle w:val="Standard"/>
              <w:snapToGrid w:val="0"/>
            </w:pPr>
            <w:bookmarkStart w:id="0" w:name="_Hlk128744978"/>
            <w:r>
              <w:rPr>
                <w:rFonts w:ascii="Arial" w:hAnsi="Arial" w:cs="Arial"/>
                <w:b/>
                <w:sz w:val="22"/>
                <w:szCs w:val="22"/>
              </w:rPr>
              <w:t>Analizator do wykonywania elektroforezy żelowej w surowicy moczu i płynie mózgowo-rdzeniowym</w:t>
            </w:r>
          </w:p>
          <w:bookmarkEnd w:id="0"/>
          <w:p w14:paraId="706E2D49" w14:textId="77777777" w:rsidR="00955169" w:rsidRDefault="00955169">
            <w:pPr>
              <w:pStyle w:val="Standard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CC3E55" w14:textId="77777777" w:rsidR="00955169" w:rsidRDefault="009551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F80239D" w14:textId="77777777" w:rsidR="00955169" w:rsidRDefault="00955169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3049E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1/36 miesięcy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34FF48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Aparat wykonywanych badań elektroforezy używany, po pełnym przeglądzie serwisowym</w:t>
            </w:r>
          </w:p>
          <w:p w14:paraId="55325DD9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Zautomatyzowany system do elektroforezy na żelach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agarozowych</w:t>
            </w:r>
            <w:proofErr w:type="spellEnd"/>
          </w:p>
          <w:p w14:paraId="08472EDE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Przebieg procesu automatyczny: aplikacja próbki, rozdział, utrwalanie, barwienie, odbarwienie, suszenie płytki</w:t>
            </w:r>
          </w:p>
          <w:p w14:paraId="2DDDB6BE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Rozdział preparatu: podłoże żelowe przezroczyste</w:t>
            </w:r>
          </w:p>
          <w:p w14:paraId="2DB8646D" w14:textId="77777777" w:rsidR="00955169" w:rsidRDefault="00E43CE2">
            <w:pPr>
              <w:pStyle w:val="Standard"/>
              <w:shd w:val="clear" w:color="auto" w:fill="FFFFFF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Możliwość wykonywania następujących oznaczeń: rozdział białek surowicy na 6 frakcji,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immunofiksacja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białko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Bence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-Jonesa, klasyfikacja białek w moczu (klasyfikacja uszkodzeń kłębuszka/kanalika), rozdział pod względem masy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czasteczkowej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prążki oligoklonalne (bez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immunoblotingu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 w płynie mózgowo-rdzeniowym, A1AT, izoenzym LDH, CK, ALP, HB    (C/D, S/E)</w:t>
            </w:r>
          </w:p>
          <w:p w14:paraId="15F1756E" w14:textId="77777777" w:rsidR="00955169" w:rsidRDefault="00E43CE2">
            <w:pPr>
              <w:pStyle w:val="Standard"/>
              <w:shd w:val="clear" w:color="auto" w:fill="FFFFFF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Automatyczna kontrola temperatury procesów</w:t>
            </w:r>
          </w:p>
          <w:p w14:paraId="6B32A98A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Aparat posiada funkcję porównania rozdziałów tego samego pacjenta</w:t>
            </w:r>
          </w:p>
          <w:p w14:paraId="119F1643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- Automatyczne skanowanie całej płytki</w:t>
            </w:r>
          </w:p>
          <w:p w14:paraId="1F25B706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Czas skanowania żelu poniżej 2 minut</w:t>
            </w:r>
          </w:p>
          <w:p w14:paraId="04EB1AE1" w14:textId="77777777" w:rsidR="00955169" w:rsidRDefault="009551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A72D7F8" w14:textId="77777777" w:rsidR="00955169" w:rsidRDefault="009551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2D421B5" w14:textId="77777777" w:rsidR="00955169" w:rsidRDefault="009551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1DE3B7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- Całkowita objętość analizowanej próbki nie większa niż 10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μl</w:t>
            </w:r>
            <w:proofErr w:type="spellEnd"/>
          </w:p>
          <w:p w14:paraId="08B5977C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Możliwość pracy w oparciu o materiał natywny (surowica, mocz) bez obróbki wstępnej</w:t>
            </w:r>
          </w:p>
          <w:p w14:paraId="398125C5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Pasma oligoklonalne w PMR wykonywane metoda bez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immunoblotingu</w:t>
            </w:r>
            <w:proofErr w:type="spellEnd"/>
          </w:p>
          <w:p w14:paraId="2A92D979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Utrwalanie metodą termiczną bez użycia substancji toksycznych, wszystkie odczynniki nie zawierają takich substancji jak kwas octowy i metanol- potwierdzenie w karcie substancji szkodliwych producenta</w:t>
            </w:r>
          </w:p>
          <w:p w14:paraId="5EADC7CE" w14:textId="77777777" w:rsidR="00955169" w:rsidRDefault="00E43CE2">
            <w:pPr>
              <w:pStyle w:val="Standard"/>
              <w:tabs>
                <w:tab w:val="left" w:pos="1494"/>
                <w:tab w:val="left" w:pos="1560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Odczynniki do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immunofiksacji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bezwzględnie muszą mieć możliwość wykonywania pojedynczego oznaczenia (100%)</w:t>
            </w:r>
          </w:p>
          <w:p w14:paraId="4BD7034D" w14:textId="77777777" w:rsidR="00955169" w:rsidRDefault="00E43CE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Możliwość obliczenia w sposób półilościowy białka monoklonalnego z zaznaczonego fragmentu krzywej</w:t>
            </w:r>
          </w:p>
          <w:p w14:paraId="12A6762B" w14:textId="77777777" w:rsidR="00955169" w:rsidRDefault="00E43CE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Sterowanie urządzeniem skanującym 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pośrednictwiem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komputera zewnętrznego</w:t>
            </w:r>
          </w:p>
          <w:p w14:paraId="17101741" w14:textId="77777777" w:rsidR="00955169" w:rsidRDefault="00E43CE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Prezentacja wyników za pomocą: wykresu obrazu zeskanowanego, stężenia frakcji, wartości procentowych, stosunku albumin do globulin</w:t>
            </w:r>
          </w:p>
          <w:p w14:paraId="5F58E4F7" w14:textId="77777777" w:rsidR="00955169" w:rsidRDefault="00E43CE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Możliwość wprowadzenia modyfikacji wykresu</w:t>
            </w:r>
          </w:p>
          <w:p w14:paraId="7054B517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Możliwość tworzenia bazy danych wyników</w:t>
            </w:r>
          </w:p>
          <w:p w14:paraId="7CB419A1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Informacje zawarte w liście roboczej: dane pacjenta plus białko całkowite (stężenie)</w:t>
            </w:r>
          </w:p>
          <w:p w14:paraId="24483372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Archiwizacja w bazie danych wyników i wykresów łącznie z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immunofiksacją</w:t>
            </w:r>
            <w:proofErr w:type="spellEnd"/>
          </w:p>
          <w:p w14:paraId="00EA5CEE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Zewnętrzna drukarka laserowa</w:t>
            </w:r>
          </w:p>
          <w:p w14:paraId="39FBD8FF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Możliwość pracy w systemie informatycznym ESKULAP</w:t>
            </w:r>
          </w:p>
          <w:p w14:paraId="0DC093DF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- Dostawca nieodpłatnie dostarczy protokoły transmisji i na własny koszt podłączy analizator do szpitalnego systemu informatycznego</w:t>
            </w:r>
          </w:p>
          <w:p w14:paraId="2FF579CD" w14:textId="77777777" w:rsidR="00955169" w:rsidRDefault="00E43CE2">
            <w:pPr>
              <w:pStyle w:val="Standard"/>
              <w:tabs>
                <w:tab w:val="left" w:pos="1560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Gwarancja techniczna na czas trwania umowy (uwzględniająca koszty naprawy, wymiany podzespołów, okresowych przeglądów itp.), dostępność serwisu przez cały czas trwania umowy</w:t>
            </w:r>
          </w:p>
          <w:p w14:paraId="774E7241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Instrukcja, uruchomienie i szkolenie na koszt Wykonawcy</w:t>
            </w:r>
          </w:p>
          <w:p w14:paraId="17821E14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Bezpłatne szkolenia w trakcie trwania umowy</w:t>
            </w:r>
          </w:p>
          <w:p w14:paraId="75C89F7B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W trakcie umowy czas oczekiwania na interwencję maksymalnie 24h w dni robocze</w:t>
            </w:r>
          </w:p>
          <w:p w14:paraId="2C9B370F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Możliwość zgłoszenia awarii 24h 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dobe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 365 dni w roku</w:t>
            </w:r>
          </w:p>
        </w:tc>
      </w:tr>
      <w:tr w:rsidR="00955169" w14:paraId="114231B6" w14:textId="7777777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DAD98F" w14:textId="77777777" w:rsidR="00955169" w:rsidRDefault="00E43CE2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92B07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Zestaw odczynników do rozdziału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elektroforetycz-nego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białek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46A7C" w14:textId="77777777" w:rsidR="00955169" w:rsidRDefault="00E43CE2">
            <w:pPr>
              <w:pStyle w:val="Standard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3600 oznaczeń/ 36 miesięcy</w:t>
            </w:r>
          </w:p>
          <w:p w14:paraId="3085E0B4" w14:textId="77777777" w:rsidR="00955169" w:rsidRDefault="009551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A2213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Odczynniki gotowe do użycia</w:t>
            </w:r>
          </w:p>
        </w:tc>
        <w:tc>
          <w:tcPr>
            <w:tcW w:w="5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9EDB8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Wszystkie zaoferowane odczynniki (odczynniki, bufory, barwniki, kontrole, kalibratory) muszą pochodzić od jednego producenta (potwierdzenie w deklaracji CE)</w:t>
            </w:r>
          </w:p>
          <w:p w14:paraId="53B19C3C" w14:textId="77777777" w:rsidR="00955169" w:rsidRDefault="00E43CE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Odczynniki do proteinogramu- zestawy umożliwiające  wykonanie rozdziału elektroforetycznego białek na żelu do 15 ścieżek z możliwością równoczesnego rozdziału 30 próbek</w:t>
            </w:r>
          </w:p>
          <w:p w14:paraId="5FC39551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Rozdział białek surowicy krwi na 6 frakcji w tym beta-1 i beta-2</w:t>
            </w:r>
          </w:p>
          <w:p w14:paraId="6D44375D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Kontrola jakości w oparciu o zapewnione przez oferenta surowice kontrolne (surowica kontrolna N i P wykonywana naprzemiennie co drugi żel)</w:t>
            </w:r>
          </w:p>
          <w:p w14:paraId="6D0CDD0C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Termin ważności odczynników i materiałów zużywalnych co najmniej 6 miesięcy od daty dostawy</w:t>
            </w:r>
          </w:p>
          <w:p w14:paraId="218915B7" w14:textId="77777777" w:rsidR="00955169" w:rsidRDefault="009551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312C6CD" w14:textId="77777777" w:rsidR="00955169" w:rsidRDefault="009551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2617E97" w14:textId="77777777" w:rsidR="00955169" w:rsidRDefault="009551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5169" w14:paraId="6086C021" w14:textId="7777777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79D834" w14:textId="77777777" w:rsidR="00955169" w:rsidRDefault="00E43CE2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8087F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Zestaw odczynników do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immunofiksacji</w:t>
            </w:r>
            <w:proofErr w:type="spellEnd"/>
          </w:p>
          <w:p w14:paraId="061AE687" w14:textId="77777777" w:rsidR="00955169" w:rsidRDefault="00E43CE2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</w:p>
          <w:p w14:paraId="510A7C38" w14:textId="77777777" w:rsidR="00955169" w:rsidRDefault="00955169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4C4C82" w14:textId="77777777" w:rsidR="00955169" w:rsidRDefault="00955169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1FDABC" w14:textId="77777777" w:rsidR="00955169" w:rsidRDefault="00955169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75162" w14:textId="77777777" w:rsidR="00955169" w:rsidRDefault="00E43CE2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A1CCE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1050 oznaczeń/ 36 miesięcy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FDC95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Odczynniki gotowe do użycia</w:t>
            </w:r>
          </w:p>
          <w:p w14:paraId="5BCE207C" w14:textId="77777777" w:rsidR="00955169" w:rsidRDefault="009551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DC12585" w14:textId="77777777" w:rsidR="00955169" w:rsidRDefault="009551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5C90515" w14:textId="77777777" w:rsidR="00955169" w:rsidRDefault="009551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BD4BF16" w14:textId="77777777" w:rsidR="00955169" w:rsidRDefault="009551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BB37B45" w14:textId="77777777" w:rsidR="00955169" w:rsidRDefault="009551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F8CDC75" w14:textId="77777777" w:rsidR="00955169" w:rsidRDefault="009551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9F25EE8" w14:textId="77777777" w:rsidR="00955169" w:rsidRDefault="009551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22F9B10" w14:textId="77777777" w:rsidR="00955169" w:rsidRDefault="009551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C71CD" w14:textId="77777777" w:rsidR="00955169" w:rsidRDefault="009551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5169" w14:paraId="34F6D6CA" w14:textId="77777777">
        <w:trPr>
          <w:trHeight w:val="2465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59917" w14:textId="77777777" w:rsidR="00955169" w:rsidRDefault="00E43CE2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EDECD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Kontrole do proteinogramów i do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immuno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14:paraId="18C610FA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fiksacji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60AA2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Ilość adekwatna do liczby wykonywanych oznaczeń</w:t>
            </w:r>
          </w:p>
        </w:tc>
        <w:tc>
          <w:tcPr>
            <w:tcW w:w="3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2AB17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Odczynniki gotowe do użycia</w:t>
            </w:r>
          </w:p>
        </w:tc>
        <w:tc>
          <w:tcPr>
            <w:tcW w:w="5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A5AB7" w14:textId="77777777" w:rsidR="00955169" w:rsidRDefault="009551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5169" w14:paraId="772E2B3B" w14:textId="77777777"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ADD55" w14:textId="77777777" w:rsidR="00955169" w:rsidRDefault="00E43CE2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2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29F52F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Materiały zużywalne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FF280" w14:textId="77777777" w:rsidR="00955169" w:rsidRDefault="00E43CE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Ilość adekwatna do liczby wykonywanych oznaczeń</w:t>
            </w:r>
          </w:p>
        </w:tc>
        <w:tc>
          <w:tcPr>
            <w:tcW w:w="3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6FDF5" w14:textId="77777777" w:rsidR="00955169" w:rsidRDefault="009551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79513C" w14:textId="77777777" w:rsidR="00955169" w:rsidRDefault="00955169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3D7EBA" w14:textId="77777777" w:rsidR="00955169" w:rsidRDefault="00955169">
      <w:pPr>
        <w:pStyle w:val="Nagwek"/>
        <w:tabs>
          <w:tab w:val="clear" w:pos="4536"/>
          <w:tab w:val="clear" w:pos="9072"/>
        </w:tabs>
      </w:pPr>
    </w:p>
    <w:sectPr w:rsidR="00955169">
      <w:footerReference w:type="default" r:id="rId7"/>
      <w:pgSz w:w="16838" w:h="11906" w:orient="landscape"/>
      <w:pgMar w:top="1134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E62F4" w14:textId="77777777" w:rsidR="002C661F" w:rsidRDefault="00E43CE2">
      <w:r>
        <w:separator/>
      </w:r>
    </w:p>
  </w:endnote>
  <w:endnote w:type="continuationSeparator" w:id="0">
    <w:p w14:paraId="4B0A985D" w14:textId="77777777" w:rsidR="002C661F" w:rsidRDefault="00E4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3B3B8" w14:textId="77777777" w:rsidR="00ED7C11" w:rsidRDefault="00E43CE2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708D5C" wp14:editId="4FEBE015">
              <wp:simplePos x="0" y="0"/>
              <wp:positionH relativeFrom="page">
                <wp:posOffset>0</wp:posOffset>
              </wp:positionH>
              <wp:positionV relativeFrom="page">
                <wp:posOffset>630</wp:posOffset>
              </wp:positionV>
              <wp:extent cx="69851" cy="145417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1" cy="14541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2700616B" w14:textId="77777777" w:rsidR="00ED7C11" w:rsidRDefault="00E43CE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  <w:t>10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708D5C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0;margin-top:.05pt;width:5.5pt;height:11.4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" stroked="f">
              <v:fill opacity="0"/>
              <v:textbox inset="0,0,0,0">
                <w:txbxContent>
                  <w:p w14:paraId="2700616B" w14:textId="77777777" w:rsidR="00ED7C11" w:rsidRDefault="00E43CE2">
                    <w:pPr>
                      <w:pStyle w:val="Stopka"/>
                    </w:pPr>
                    <w:r>
                      <w:rPr>
                        <w:rStyle w:val="Numerstrony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  <w:szCs w:val="20"/>
                      </w:rPr>
                      <w:t>10</w:t>
                    </w:r>
                    <w:r>
                      <w:rPr>
                        <w:rStyle w:val="Numerstrony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38EFE" w14:textId="77777777" w:rsidR="002C661F" w:rsidRDefault="00E43CE2">
      <w:r>
        <w:rPr>
          <w:color w:val="000000"/>
        </w:rPr>
        <w:separator/>
      </w:r>
    </w:p>
  </w:footnote>
  <w:footnote w:type="continuationSeparator" w:id="0">
    <w:p w14:paraId="5FE124B9" w14:textId="77777777" w:rsidR="002C661F" w:rsidRDefault="00E43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1D68"/>
    <w:multiLevelType w:val="multilevel"/>
    <w:tmpl w:val="A866BF06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C054EC0"/>
    <w:multiLevelType w:val="multilevel"/>
    <w:tmpl w:val="BB1241DE"/>
    <w:styleLink w:val="WWOutlineListStyle1"/>
    <w:lvl w:ilvl="0">
      <w:start w:val="1"/>
      <w:numFmt w:val="decimal"/>
      <w:lvlText w:val="Rozdział %1."/>
      <w:lvlJc w:val="left"/>
      <w:pPr>
        <w:ind w:left="3024" w:firstLine="0"/>
      </w:pPr>
    </w:lvl>
    <w:lvl w:ilvl="1">
      <w:start w:val="1"/>
      <w:numFmt w:val="none"/>
      <w:lvlText w:val="%2"/>
      <w:lvlJc w:val="left"/>
    </w:lvl>
    <w:lvl w:ilvl="2">
      <w:start w:val="1"/>
      <w:numFmt w:val="decimal"/>
      <w:lvlText w:val="Rozdział %1.%2.%3"/>
      <w:lvlJc w:val="left"/>
      <w:pPr>
        <w:ind w:left="3204" w:firstLine="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5D07230"/>
    <w:multiLevelType w:val="multilevel"/>
    <w:tmpl w:val="B92C8016"/>
    <w:styleLink w:val="WWOutlineListStyle3"/>
    <w:lvl w:ilvl="0">
      <w:start w:val="1"/>
      <w:numFmt w:val="decimal"/>
      <w:pStyle w:val="Nagwek1"/>
      <w:lvlText w:val="Rozdział %1."/>
      <w:lvlJc w:val="left"/>
      <w:pPr>
        <w:ind w:left="3024" w:firstLine="0"/>
      </w:pPr>
    </w:lvl>
    <w:lvl w:ilvl="1">
      <w:start w:val="1"/>
      <w:numFmt w:val="none"/>
      <w:lvlText w:val="%2"/>
      <w:lvlJc w:val="left"/>
    </w:lvl>
    <w:lvl w:ilvl="2">
      <w:start w:val="1"/>
      <w:numFmt w:val="decimal"/>
      <w:pStyle w:val="Nagwek3"/>
      <w:lvlText w:val="Rozdział %1.%2.%3"/>
      <w:lvlJc w:val="left"/>
      <w:pPr>
        <w:ind w:left="3204" w:firstLine="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6E178A1"/>
    <w:multiLevelType w:val="multilevel"/>
    <w:tmpl w:val="F114371E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35B06C5"/>
    <w:multiLevelType w:val="multilevel"/>
    <w:tmpl w:val="DD48B84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C2C2507"/>
    <w:multiLevelType w:val="multilevel"/>
    <w:tmpl w:val="489E5C74"/>
    <w:styleLink w:val="Outline"/>
    <w:lvl w:ilvl="0">
      <w:start w:val="1"/>
      <w:numFmt w:val="decimal"/>
      <w:lvlText w:val="Rozdział %1."/>
      <w:lvlJc w:val="left"/>
      <w:pPr>
        <w:ind w:left="3024" w:firstLine="0"/>
      </w:pPr>
    </w:lvl>
    <w:lvl w:ilvl="1">
      <w:start w:val="1"/>
      <w:numFmt w:val="none"/>
      <w:lvlText w:val="%2"/>
      <w:lvlJc w:val="left"/>
      <w:pPr>
        <w:ind w:left="2124" w:firstLine="0"/>
      </w:pPr>
    </w:lvl>
    <w:lvl w:ilvl="2">
      <w:start w:val="1"/>
      <w:numFmt w:val="decimal"/>
      <w:lvlText w:val="Rozdział %1.%2.%3"/>
      <w:lvlJc w:val="left"/>
      <w:pPr>
        <w:ind w:left="3204" w:firstLine="0"/>
      </w:pPr>
    </w:lvl>
    <w:lvl w:ilvl="3">
      <w:start w:val="1"/>
      <w:numFmt w:val="none"/>
      <w:lvlText w:val="%4"/>
      <w:lvlJc w:val="left"/>
      <w:pPr>
        <w:ind w:left="2124" w:firstLine="0"/>
      </w:pPr>
    </w:lvl>
    <w:lvl w:ilvl="4">
      <w:start w:val="1"/>
      <w:numFmt w:val="none"/>
      <w:lvlText w:val="%5"/>
      <w:lvlJc w:val="left"/>
      <w:pPr>
        <w:ind w:left="2124" w:firstLine="0"/>
      </w:pPr>
    </w:lvl>
    <w:lvl w:ilvl="5">
      <w:start w:val="1"/>
      <w:numFmt w:val="none"/>
      <w:lvlText w:val="%6"/>
      <w:lvlJc w:val="left"/>
      <w:pPr>
        <w:ind w:left="2124" w:firstLine="0"/>
      </w:pPr>
    </w:lvl>
    <w:lvl w:ilvl="6">
      <w:start w:val="1"/>
      <w:numFmt w:val="none"/>
      <w:lvlText w:val="%7"/>
      <w:lvlJc w:val="left"/>
      <w:pPr>
        <w:ind w:left="2124" w:firstLine="0"/>
      </w:pPr>
    </w:lvl>
    <w:lvl w:ilvl="7">
      <w:start w:val="1"/>
      <w:numFmt w:val="none"/>
      <w:lvlText w:val="%8"/>
      <w:lvlJc w:val="left"/>
      <w:pPr>
        <w:ind w:left="2124" w:firstLine="0"/>
      </w:pPr>
    </w:lvl>
    <w:lvl w:ilvl="8">
      <w:start w:val="1"/>
      <w:numFmt w:val="none"/>
      <w:lvlText w:val="%9"/>
      <w:lvlJc w:val="left"/>
      <w:pPr>
        <w:ind w:left="2124" w:firstLine="0"/>
      </w:pPr>
    </w:lvl>
  </w:abstractNum>
  <w:abstractNum w:abstractNumId="6" w15:restartNumberingAfterBreak="0">
    <w:nsid w:val="542550BD"/>
    <w:multiLevelType w:val="multilevel"/>
    <w:tmpl w:val="5A60AB60"/>
    <w:styleLink w:val="WWOutlineListStyle2"/>
    <w:lvl w:ilvl="0">
      <w:start w:val="1"/>
      <w:numFmt w:val="decimal"/>
      <w:lvlText w:val="Rozdział %1."/>
      <w:lvlJc w:val="left"/>
      <w:pPr>
        <w:ind w:left="3024" w:firstLine="0"/>
      </w:pPr>
    </w:lvl>
    <w:lvl w:ilvl="1">
      <w:start w:val="1"/>
      <w:numFmt w:val="none"/>
      <w:lvlText w:val="%2"/>
      <w:lvlJc w:val="left"/>
    </w:lvl>
    <w:lvl w:ilvl="2">
      <w:start w:val="1"/>
      <w:numFmt w:val="decimal"/>
      <w:lvlText w:val="Rozdział %1.%2.%3"/>
      <w:lvlJc w:val="left"/>
      <w:pPr>
        <w:ind w:left="3204" w:firstLine="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5E022C62"/>
    <w:multiLevelType w:val="multilevel"/>
    <w:tmpl w:val="EF2E7320"/>
    <w:styleLink w:val="WWOutlineListStyle"/>
    <w:lvl w:ilvl="0">
      <w:start w:val="1"/>
      <w:numFmt w:val="decimal"/>
      <w:lvlText w:val="Rozdział %1."/>
      <w:lvlJc w:val="left"/>
      <w:pPr>
        <w:ind w:left="3024" w:firstLine="0"/>
      </w:pPr>
    </w:lvl>
    <w:lvl w:ilvl="1">
      <w:start w:val="1"/>
      <w:numFmt w:val="none"/>
      <w:lvlText w:val="%2"/>
      <w:lvlJc w:val="left"/>
    </w:lvl>
    <w:lvl w:ilvl="2">
      <w:start w:val="1"/>
      <w:numFmt w:val="decimal"/>
      <w:lvlText w:val="Rozdział %1.%2.%3"/>
      <w:lvlJc w:val="left"/>
      <w:pPr>
        <w:ind w:left="3204" w:firstLine="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6322633E"/>
    <w:multiLevelType w:val="multilevel"/>
    <w:tmpl w:val="30FA3694"/>
    <w:styleLink w:val="WW8Num2"/>
    <w:lvl w:ilvl="0">
      <w:numFmt w:val="bullet"/>
      <w:lvlText w:val="–"/>
      <w:lvlJc w:val="left"/>
      <w:pPr>
        <w:ind w:left="720" w:hanging="360"/>
      </w:pPr>
      <w:rPr>
        <w:rFonts w:ascii="Liberation Serif" w:hAnsi="Liberation Serif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51A5D17"/>
    <w:multiLevelType w:val="multilevel"/>
    <w:tmpl w:val="00FE8874"/>
    <w:styleLink w:val="WW8Num1"/>
    <w:lvl w:ilvl="0">
      <w:start w:val="1"/>
      <w:numFmt w:val="decimal"/>
      <w:suff w:val="space"/>
      <w:lvlText w:val="Rozdział %1."/>
      <w:lvlJc w:val="left"/>
      <w:pPr>
        <w:ind w:left="3024" w:firstLine="0"/>
      </w:pPr>
    </w:lvl>
    <w:lvl w:ilvl="1">
      <w:start w:val="1"/>
      <w:numFmt w:val="none"/>
      <w:suff w:val="nothing"/>
      <w:lvlText w:val="%2"/>
      <w:lvlJc w:val="left"/>
      <w:pPr>
        <w:ind w:left="2124" w:firstLine="0"/>
      </w:pPr>
    </w:lvl>
    <w:lvl w:ilvl="2">
      <w:start w:val="1"/>
      <w:numFmt w:val="decimal"/>
      <w:suff w:val="nothing"/>
      <w:lvlText w:val="Rozdział %1.%2.%3"/>
      <w:lvlJc w:val="left"/>
      <w:pPr>
        <w:ind w:left="3204" w:firstLine="0"/>
      </w:pPr>
    </w:lvl>
    <w:lvl w:ilvl="3">
      <w:start w:val="1"/>
      <w:numFmt w:val="none"/>
      <w:suff w:val="nothing"/>
      <w:lvlText w:val="%4"/>
      <w:lvlJc w:val="left"/>
      <w:pPr>
        <w:ind w:left="2124" w:firstLine="0"/>
      </w:pPr>
    </w:lvl>
    <w:lvl w:ilvl="4">
      <w:start w:val="1"/>
      <w:numFmt w:val="none"/>
      <w:suff w:val="nothing"/>
      <w:lvlText w:val="%5"/>
      <w:lvlJc w:val="left"/>
      <w:pPr>
        <w:ind w:left="2124" w:firstLine="0"/>
      </w:pPr>
    </w:lvl>
    <w:lvl w:ilvl="5">
      <w:start w:val="1"/>
      <w:numFmt w:val="none"/>
      <w:suff w:val="nothing"/>
      <w:lvlText w:val="%6"/>
      <w:lvlJc w:val="left"/>
      <w:pPr>
        <w:ind w:left="2124" w:firstLine="0"/>
      </w:pPr>
    </w:lvl>
    <w:lvl w:ilvl="6">
      <w:start w:val="1"/>
      <w:numFmt w:val="none"/>
      <w:suff w:val="nothing"/>
      <w:lvlText w:val="%7"/>
      <w:lvlJc w:val="left"/>
      <w:pPr>
        <w:ind w:left="2124" w:firstLine="0"/>
      </w:pPr>
    </w:lvl>
    <w:lvl w:ilvl="7">
      <w:start w:val="1"/>
      <w:numFmt w:val="none"/>
      <w:suff w:val="nothing"/>
      <w:lvlText w:val="%8"/>
      <w:lvlJc w:val="left"/>
      <w:pPr>
        <w:ind w:left="2124" w:firstLine="0"/>
      </w:pPr>
    </w:lvl>
    <w:lvl w:ilvl="8">
      <w:start w:val="1"/>
      <w:numFmt w:val="none"/>
      <w:suff w:val="nothing"/>
      <w:lvlText w:val="%9"/>
      <w:lvlJc w:val="left"/>
      <w:pPr>
        <w:ind w:left="2124" w:firstLine="0"/>
      </w:pPr>
    </w:lvl>
  </w:abstractNum>
  <w:num w:numId="1" w16cid:durableId="528644256">
    <w:abstractNumId w:val="2"/>
  </w:num>
  <w:num w:numId="2" w16cid:durableId="246698432">
    <w:abstractNumId w:val="6"/>
  </w:num>
  <w:num w:numId="3" w16cid:durableId="925504368">
    <w:abstractNumId w:val="1"/>
  </w:num>
  <w:num w:numId="4" w16cid:durableId="1985967506">
    <w:abstractNumId w:val="7"/>
  </w:num>
  <w:num w:numId="5" w16cid:durableId="780028404">
    <w:abstractNumId w:val="5"/>
  </w:num>
  <w:num w:numId="6" w16cid:durableId="904143539">
    <w:abstractNumId w:val="9"/>
  </w:num>
  <w:num w:numId="7" w16cid:durableId="156961385">
    <w:abstractNumId w:val="8"/>
  </w:num>
  <w:num w:numId="8" w16cid:durableId="2121564002">
    <w:abstractNumId w:val="0"/>
  </w:num>
  <w:num w:numId="9" w16cid:durableId="8146906">
    <w:abstractNumId w:val="4"/>
  </w:num>
  <w:num w:numId="10" w16cid:durableId="2109882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169"/>
    <w:rsid w:val="001A5058"/>
    <w:rsid w:val="002C661F"/>
    <w:rsid w:val="00955169"/>
    <w:rsid w:val="00E4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16743"/>
  <w15:docId w15:val="{5BC4EA65-134D-42B0-8C5F-887B65DC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bCs/>
      <w:sz w:val="22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4"/>
    </w:pPr>
    <w:rPr>
      <w:b/>
      <w:bCs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Standard"/>
    <w:next w:val="Standard"/>
    <w:pPr>
      <w:spacing w:before="240" w:after="60"/>
      <w:outlineLvl w:val="6"/>
    </w:pPr>
  </w:style>
  <w:style w:type="paragraph" w:styleId="Nagwek8">
    <w:name w:val="heading 8"/>
    <w:basedOn w:val="Standard"/>
    <w:next w:val="Standar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Standard"/>
    <w:next w:val="Standard"/>
    <w:pPr>
      <w:spacing w:before="240" w:after="60"/>
      <w:outlineLvl w:val="8"/>
    </w:pPr>
    <w:rPr>
      <w:rFonts w:ascii="Arial" w:eastAsia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3">
    <w:name w:val="WW_OutlineListStyle_3"/>
    <w:basedOn w:val="Bezlisty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agwek10">
    <w:name w:val="Nagłówek1"/>
    <w:basedOn w:val="Standard"/>
    <w:next w:val="Textbody"/>
    <w:pPr>
      <w:jc w:val="center"/>
    </w:pPr>
    <w:rPr>
      <w:rFonts w:ascii="Arial" w:eastAsia="Arial" w:hAnsi="Arial" w:cs="Arial"/>
      <w:b/>
      <w:bCs/>
    </w:rPr>
  </w:style>
  <w:style w:type="paragraph" w:customStyle="1" w:styleId="Listapunktowana1">
    <w:name w:val="Lista punktowana1"/>
    <w:basedOn w:val="Standard"/>
    <w:pPr>
      <w:tabs>
        <w:tab w:val="left" w:pos="1701"/>
        <w:tab w:val="left" w:pos="1800"/>
        <w:tab w:val="left" w:pos="1985"/>
        <w:tab w:val="left" w:pos="7938"/>
        <w:tab w:val="left" w:pos="8222"/>
      </w:tabs>
      <w:jc w:val="both"/>
    </w:pPr>
    <w:rPr>
      <w:szCs w:val="20"/>
    </w:rPr>
  </w:style>
  <w:style w:type="paragraph" w:customStyle="1" w:styleId="Textbodyindent">
    <w:name w:val="Text body indent"/>
    <w:basedOn w:val="Standard"/>
    <w:pPr>
      <w:spacing w:line="360" w:lineRule="auto"/>
      <w:ind w:left="360" w:hanging="360"/>
      <w:jc w:val="both"/>
    </w:pPr>
    <w:rPr>
      <w:sz w:val="22"/>
    </w:rPr>
  </w:style>
  <w:style w:type="paragraph" w:customStyle="1" w:styleId="Tekstpodstawowy21">
    <w:name w:val="Tekst podstawowy 21"/>
    <w:basedOn w:val="Standard"/>
    <w:pPr>
      <w:jc w:val="both"/>
    </w:pPr>
    <w:rPr>
      <w:sz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Standard"/>
    <w:pPr>
      <w:spacing w:line="360" w:lineRule="auto"/>
      <w:ind w:left="180" w:hanging="180"/>
    </w:pPr>
  </w:style>
  <w:style w:type="paragraph" w:customStyle="1" w:styleId="Tekstpodstawowywcity31">
    <w:name w:val="Tekst podstawowy wcięty 31"/>
    <w:basedOn w:val="Standard"/>
    <w:pPr>
      <w:spacing w:line="360" w:lineRule="auto"/>
      <w:ind w:left="720" w:hanging="360"/>
    </w:pPr>
  </w:style>
  <w:style w:type="paragraph" w:customStyle="1" w:styleId="tabela">
    <w:name w:val="tabela"/>
    <w:basedOn w:val="Standard"/>
    <w:pPr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styleId="NormalnyWeb">
    <w:name w:val="Normal (Web)"/>
    <w:basedOn w:val="Standard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overflowPunct w:val="0"/>
      <w:autoSpaceDE w:val="0"/>
      <w:spacing w:line="360" w:lineRule="auto"/>
      <w:ind w:left="6372"/>
      <w:jc w:val="both"/>
    </w:pPr>
    <w:rPr>
      <w:b/>
      <w:sz w:val="18"/>
      <w:szCs w:val="20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rPr>
      <w:sz w:val="20"/>
      <w:szCs w:val="20"/>
    </w:rPr>
  </w:style>
  <w:style w:type="character" w:customStyle="1" w:styleId="WW8Num1z0">
    <w:name w:val="WW8Num1z0"/>
  </w:style>
  <w:style w:type="character" w:customStyle="1" w:styleId="WW8Num2z0">
    <w:name w:val="WW8Num2z0"/>
    <w:rPr>
      <w:rFonts w:ascii="Liberation Serif" w:eastAsia="Liberation Serif" w:hAnsi="Liberation Serif" w:cs="Arial"/>
      <w:sz w:val="22"/>
      <w:szCs w:val="22"/>
    </w:rPr>
  </w:style>
  <w:style w:type="character" w:customStyle="1" w:styleId="WW8Num3z0">
    <w:name w:val="WW8Num3z0"/>
    <w:rPr>
      <w:rFonts w:ascii="Arial" w:eastAsia="Arial" w:hAnsi="Arial" w:cs="Arial"/>
      <w:sz w:val="22"/>
      <w:szCs w:val="22"/>
    </w:rPr>
  </w:style>
  <w:style w:type="character" w:customStyle="1" w:styleId="WW8Num4z0">
    <w:name w:val="WW8Num4z0"/>
    <w:rPr>
      <w:rFonts w:ascii="Arial" w:eastAsia="Arial" w:hAnsi="Arial" w:cs="Arial"/>
      <w:sz w:val="22"/>
      <w:szCs w:val="22"/>
    </w:rPr>
  </w:style>
  <w:style w:type="character" w:customStyle="1" w:styleId="WW8Num4z1">
    <w:name w:val="WW8Num4z1"/>
    <w:rPr>
      <w:rFonts w:ascii="Arial" w:eastAsia="Arial" w:hAnsi="Arial" w:cs="Arial"/>
      <w:sz w:val="22"/>
      <w:szCs w:val="22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Arial" w:hAnsi="Arial" w:cs="Arial"/>
      <w:sz w:val="22"/>
      <w:szCs w:val="22"/>
    </w:rPr>
  </w:style>
  <w:style w:type="character" w:customStyle="1" w:styleId="WW8Num5z1">
    <w:name w:val="WW8Num5z1"/>
    <w:rPr>
      <w:rFonts w:ascii="Arial" w:eastAsia="Arial" w:hAnsi="Arial" w:cs="Arial"/>
      <w:sz w:val="22"/>
      <w:szCs w:val="22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eastAsia="Arial" w:hAnsi="Arial" w:cs="Arial"/>
      <w:sz w:val="22"/>
      <w:szCs w:val="22"/>
    </w:rPr>
  </w:style>
  <w:style w:type="character" w:customStyle="1" w:styleId="WW8Num13z0">
    <w:name w:val="WW8Num13z0"/>
    <w:rPr>
      <w:b w:val="0"/>
      <w:i w:val="0"/>
      <w:color w:val="000000"/>
      <w:u w:val="none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  <w:rPr>
      <w:rFonts w:ascii="Times New Roman" w:eastAsia="Times New Roman" w:hAnsi="Times New Roman" w:cs="Times New Roman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eastAsia="Arial" w:hAnsi="Arial" w:cs="Arial"/>
      <w:sz w:val="22"/>
      <w:szCs w:val="22"/>
    </w:rPr>
  </w:style>
  <w:style w:type="character" w:customStyle="1" w:styleId="WW8Num36z0">
    <w:name w:val="WW8Num36z0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2">
    <w:name w:val="WW8Num41z2"/>
    <w:rPr>
      <w:i w:val="0"/>
      <w:color w:val="000000"/>
      <w:u w:val="none"/>
    </w:rPr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Arial" w:eastAsia="Arial" w:hAnsi="Arial" w:cs="Arial"/>
      <w:sz w:val="22"/>
      <w:szCs w:val="22"/>
    </w:rPr>
  </w:style>
  <w:style w:type="character" w:customStyle="1" w:styleId="WW8Num48z1">
    <w:name w:val="WW8Num48z1"/>
    <w:rPr>
      <w:rFonts w:ascii="Arial" w:eastAsia="Arial" w:hAnsi="Arial" w:cs="Arial"/>
      <w:sz w:val="22"/>
      <w:szCs w:val="22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0000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Numerstrony">
    <w:name w:val="page number"/>
    <w:basedOn w:val="Domylnaczcionkaakapitu1"/>
  </w:style>
  <w:style w:type="character" w:customStyle="1" w:styleId="TytuZnak">
    <w:name w:val="Tytuł Znak"/>
    <w:rPr>
      <w:rFonts w:ascii="Arial" w:eastAsia="Arial" w:hAnsi="Arial" w:cs="Arial"/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rPr>
      <w:lang w:eastAsia="zh-CN"/>
    </w:rPr>
  </w:style>
  <w:style w:type="character" w:customStyle="1" w:styleId="FootnoteSymbol">
    <w:name w:val="Footnote Symbol"/>
    <w:basedOn w:val="Domylnaczcionkaakapitu"/>
    <w:rPr>
      <w:position w:val="0"/>
      <w:vertAlign w:val="superscript"/>
    </w:rPr>
  </w:style>
  <w:style w:type="numbering" w:customStyle="1" w:styleId="WWOutlineListStyle2">
    <w:name w:val="WW_OutlineListStyle_2"/>
    <w:basedOn w:val="Bezlisty"/>
    <w:pPr>
      <w:numPr>
        <w:numId w:val="2"/>
      </w:numPr>
    </w:pPr>
  </w:style>
  <w:style w:type="numbering" w:customStyle="1" w:styleId="WWOutlineListStyle1">
    <w:name w:val="WW_OutlineListStyle_1"/>
    <w:basedOn w:val="Bezlisty"/>
    <w:pPr>
      <w:numPr>
        <w:numId w:val="3"/>
      </w:numPr>
    </w:pPr>
  </w:style>
  <w:style w:type="numbering" w:customStyle="1" w:styleId="WWOutlineListStyle">
    <w:name w:val="WW_OutlineListStyle"/>
    <w:basedOn w:val="Bezlisty"/>
    <w:pPr>
      <w:numPr>
        <w:numId w:val="4"/>
      </w:numPr>
    </w:pPr>
  </w:style>
  <w:style w:type="numbering" w:customStyle="1" w:styleId="Outline">
    <w:name w:val="Outline"/>
    <w:basedOn w:val="Bezlisty"/>
    <w:pPr>
      <w:numPr>
        <w:numId w:val="5"/>
      </w:numPr>
    </w:pPr>
  </w:style>
  <w:style w:type="numbering" w:customStyle="1" w:styleId="WW8Num1">
    <w:name w:val="WW8Num1"/>
    <w:basedOn w:val="Bezlisty"/>
    <w:pPr>
      <w:numPr>
        <w:numId w:val="6"/>
      </w:numPr>
    </w:pPr>
  </w:style>
  <w:style w:type="numbering" w:customStyle="1" w:styleId="WW8Num2">
    <w:name w:val="WW8Num2"/>
    <w:basedOn w:val="Bezlisty"/>
    <w:pPr>
      <w:numPr>
        <w:numId w:val="7"/>
      </w:numPr>
    </w:pPr>
  </w:style>
  <w:style w:type="numbering" w:customStyle="1" w:styleId="WW8Num3">
    <w:name w:val="WW8Num3"/>
    <w:basedOn w:val="Bezlisty"/>
    <w:pPr>
      <w:numPr>
        <w:numId w:val="8"/>
      </w:numPr>
    </w:pPr>
  </w:style>
  <w:style w:type="numbering" w:customStyle="1" w:styleId="WW8Num4">
    <w:name w:val="WW8Num4"/>
    <w:basedOn w:val="Bezlisty"/>
    <w:pPr>
      <w:numPr>
        <w:numId w:val="9"/>
      </w:numPr>
    </w:pPr>
  </w:style>
  <w:style w:type="numbering" w:customStyle="1" w:styleId="WW8Num5">
    <w:name w:val="WW8Num5"/>
    <w:basedOn w:val="Bezlisty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1725</Words>
  <Characters>10351</Characters>
  <Application>Microsoft Office Word</Application>
  <DocSecurity>0</DocSecurity>
  <Lines>86</Lines>
  <Paragraphs>24</Paragraphs>
  <ScaleCrop>false</ScaleCrop>
  <Company/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1/2006</dc:title>
  <dc:subject/>
  <dc:creator>..</dc:creator>
  <cp:lastModifiedBy>Joanna Śmietańska</cp:lastModifiedBy>
  <cp:revision>3</cp:revision>
  <cp:lastPrinted>2020-06-16T11:44:00Z</cp:lastPrinted>
  <dcterms:created xsi:type="dcterms:W3CDTF">2023-03-06T07:59:00Z</dcterms:created>
  <dcterms:modified xsi:type="dcterms:W3CDTF">2023-03-07T12:52:00Z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1471761994</vt:r8>
  </property>
  <property fmtid="{D5CDD505-2E9C-101B-9397-08002B2CF9AE}" pid="3" name="_AuthorEmail">
    <vt:lpwstr>krystyna.kubiak@zozmswia.poznan.pl</vt:lpwstr>
  </property>
  <property fmtid="{D5CDD505-2E9C-101B-9397-08002B2CF9AE}" pid="4" name="_AuthorEmailDisplayName">
    <vt:lpwstr>Krystyna Kubiak/Sekcja zamowien publicznych/ZOZ MSWiA w Poznaniu</vt:lpwstr>
  </property>
  <property fmtid="{D5CDD505-2E9C-101B-9397-08002B2CF9AE}" pid="5" name="_EmailSubject">
    <vt:lpwstr>regulamin</vt:lpwstr>
  </property>
  <property fmtid="{D5CDD505-2E9C-101B-9397-08002B2CF9AE}" pid="6" name="_ReviewingToolsShownOnce">
    <vt:lpwstr/>
  </property>
</Properties>
</file>