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ust. 1 ustawy Pzp</w:t>
      </w:r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212882EB" w14:textId="77777777" w:rsidR="002F6F5B" w:rsidRPr="00DC0709" w:rsidRDefault="002F6F5B" w:rsidP="002F6F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2F5C0950" w14:textId="6A96C75D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Pzp.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>ustawy Pzp.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Pzp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Pzp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Pzp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Pzp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podmiotu: NIP/PESEL, KRS/CEiDG).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lastRenderedPageBreak/>
        <w:t>Zaleca się po wypełnieniu formularzy zapisać je do pliku „.pdf „ i dopiero tak przygotowany plik podpisać – zalecany podpis wewnętrzny „ pades”.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2F6F5B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2019-11-28T17:36:00Z</cp:lastPrinted>
  <dcterms:created xsi:type="dcterms:W3CDTF">2021-03-02T12:58:00Z</dcterms:created>
  <dcterms:modified xsi:type="dcterms:W3CDTF">2024-07-03T12:09:00Z</dcterms:modified>
</cp:coreProperties>
</file>