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11F3D" w14:textId="7AFA34E4" w:rsidR="00B02B14" w:rsidRPr="00B02B14" w:rsidRDefault="00B02B14" w:rsidP="00B02B14">
      <w:pPr>
        <w:pStyle w:val="Stopka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550948">
        <w:rPr>
          <w:rFonts w:ascii="Arial" w:hAnsi="Arial" w:cs="Arial"/>
          <w:b/>
          <w:sz w:val="20"/>
          <w:szCs w:val="20"/>
        </w:rPr>
        <w:t xml:space="preserve">Załącznik </w:t>
      </w:r>
      <w:r w:rsidRPr="00550948">
        <w:rPr>
          <w:rStyle w:val="PodtytuZnak"/>
          <w:rFonts w:ascii="Arial" w:eastAsiaTheme="minorHAnsi" w:hAnsi="Arial" w:cs="Arial"/>
          <w:b/>
          <w:sz w:val="20"/>
          <w:szCs w:val="20"/>
        </w:rPr>
        <w:t>nr</w:t>
      </w:r>
      <w:r w:rsidRPr="00550948">
        <w:rPr>
          <w:rFonts w:ascii="Arial" w:hAnsi="Arial" w:cs="Arial"/>
          <w:b/>
          <w:sz w:val="20"/>
          <w:szCs w:val="20"/>
        </w:rPr>
        <w:t xml:space="preserve"> 5 do SWZ</w:t>
      </w:r>
    </w:p>
    <w:p w14:paraId="7C485201" w14:textId="77777777" w:rsidR="00B02B14" w:rsidRPr="002206A6" w:rsidRDefault="00B02B14" w:rsidP="00B02B14">
      <w:pPr>
        <w:pStyle w:val="Styl2"/>
        <w:numPr>
          <w:ilvl w:val="0"/>
          <w:numId w:val="0"/>
        </w:numPr>
        <w:spacing w:after="240"/>
        <w:rPr>
          <w:b w:val="0"/>
          <w:bCs/>
        </w:rPr>
      </w:pPr>
      <w:r w:rsidRPr="002206A6">
        <w:rPr>
          <w:b w:val="0"/>
          <w:bCs/>
        </w:rPr>
        <w:t>Opis przedmiotu zamówienia</w:t>
      </w:r>
    </w:p>
    <w:p w14:paraId="77066EFE" w14:textId="77777777" w:rsidR="00B02B14" w:rsidRPr="00BF7128" w:rsidRDefault="00B02B14" w:rsidP="00B02B14">
      <w:pPr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4CDCF2B2" w14:textId="6AA572A9" w:rsidR="00B02B14" w:rsidRDefault="00B02B14" w:rsidP="00B02B14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>pn.</w:t>
      </w:r>
      <w:r w:rsidRPr="00BF7128">
        <w:rPr>
          <w:rFonts w:ascii="Arial" w:hAnsi="Arial" w:cs="Arial"/>
          <w:b/>
          <w:sz w:val="20"/>
          <w:szCs w:val="20"/>
        </w:rPr>
        <w:t xml:space="preserve"> </w:t>
      </w:r>
      <w:r w:rsidRPr="00CC6C8E">
        <w:rPr>
          <w:rFonts w:ascii="Arial" w:hAnsi="Arial" w:cs="Arial"/>
          <w:b/>
          <w:sz w:val="20"/>
          <w:szCs w:val="20"/>
        </w:rPr>
        <w:t>„</w:t>
      </w:r>
      <w:r w:rsidRPr="00DD3971">
        <w:rPr>
          <w:rFonts w:ascii="Arial" w:hAnsi="Arial" w:cs="Arial"/>
          <w:b/>
          <w:sz w:val="20"/>
          <w:szCs w:val="20"/>
        </w:rPr>
        <w:t xml:space="preserve">Remonty dróg stanowiących własność Gminy Mogilno o nawierzchni gruntowej </w:t>
      </w:r>
      <w:r w:rsidR="00BE502D">
        <w:rPr>
          <w:rFonts w:ascii="Arial" w:hAnsi="Arial" w:cs="Arial"/>
          <w:b/>
          <w:sz w:val="20"/>
          <w:szCs w:val="20"/>
        </w:rPr>
        <w:t xml:space="preserve">                           </w:t>
      </w:r>
      <w:r w:rsidRPr="00DD3971">
        <w:rPr>
          <w:rFonts w:ascii="Arial" w:hAnsi="Arial" w:cs="Arial"/>
          <w:b/>
          <w:sz w:val="20"/>
          <w:szCs w:val="20"/>
        </w:rPr>
        <w:t>i tłuczniowej</w:t>
      </w:r>
      <w:r w:rsidRPr="00CC6C8E">
        <w:rPr>
          <w:rFonts w:ascii="Arial" w:hAnsi="Arial" w:cs="Arial"/>
          <w:b/>
          <w:sz w:val="20"/>
          <w:szCs w:val="20"/>
        </w:rPr>
        <w:t>”</w:t>
      </w:r>
    </w:p>
    <w:p w14:paraId="15FBE12D" w14:textId="77777777" w:rsidR="00B02B14" w:rsidRPr="00C25C7B" w:rsidRDefault="00B02B14" w:rsidP="00B02B14">
      <w:pPr>
        <w:widowControl w:val="0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708C5ED4" w14:textId="77777777" w:rsidR="00295134" w:rsidRPr="00295134" w:rsidRDefault="00295134" w:rsidP="007E17E8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after="0" w:line="360" w:lineRule="auto"/>
        <w:ind w:left="284" w:hanging="295"/>
        <w:jc w:val="both"/>
        <w:rPr>
          <w:rFonts w:ascii="Arial" w:hAnsi="Arial" w:cs="Arial"/>
          <w:sz w:val="20"/>
          <w:szCs w:val="20"/>
        </w:rPr>
      </w:pPr>
      <w:r w:rsidRPr="00295134">
        <w:rPr>
          <w:rFonts w:ascii="Arial" w:hAnsi="Arial" w:cs="Arial"/>
          <w:sz w:val="20"/>
          <w:szCs w:val="20"/>
        </w:rPr>
        <w:t>Przedmiot zamówienia obejmuje remonty dróg stanowiących własność Gminy Mogilno o nawierzchni gruntowej i tłuczniowej w zakresie:</w:t>
      </w:r>
    </w:p>
    <w:p w14:paraId="541ED26A" w14:textId="77777777" w:rsidR="00295134" w:rsidRPr="00295134" w:rsidRDefault="00295134" w:rsidP="007E17E8">
      <w:pPr>
        <w:pStyle w:val="Akapitzlist"/>
        <w:numPr>
          <w:ilvl w:val="0"/>
          <w:numId w:val="24"/>
        </w:numPr>
        <w:tabs>
          <w:tab w:val="left" w:pos="284"/>
          <w:tab w:val="left" w:pos="426"/>
        </w:tabs>
        <w:spacing w:after="0"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295134">
        <w:rPr>
          <w:rFonts w:ascii="Arial" w:hAnsi="Arial" w:cs="Arial"/>
          <w:sz w:val="20"/>
          <w:szCs w:val="20"/>
        </w:rPr>
        <w:t>dla dróg o nawierzchni gruntowej:</w:t>
      </w:r>
    </w:p>
    <w:p w14:paraId="3D7B1FD3" w14:textId="77777777" w:rsidR="00295134" w:rsidRPr="00295134" w:rsidRDefault="00295134" w:rsidP="00295134">
      <w:pPr>
        <w:pStyle w:val="Akapitzlist"/>
        <w:numPr>
          <w:ilvl w:val="0"/>
          <w:numId w:val="27"/>
        </w:numPr>
        <w:tabs>
          <w:tab w:val="left" w:pos="284"/>
          <w:tab w:val="left" w:pos="426"/>
          <w:tab w:val="left" w:pos="993"/>
        </w:tabs>
        <w:spacing w:after="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295134">
        <w:rPr>
          <w:rFonts w:ascii="Arial" w:hAnsi="Arial" w:cs="Arial"/>
          <w:sz w:val="20"/>
          <w:szCs w:val="20"/>
        </w:rPr>
        <w:t>profilowanie dróg gruntowych równiarką samojezdną,</w:t>
      </w:r>
    </w:p>
    <w:p w14:paraId="3780AA09" w14:textId="77777777" w:rsidR="00295134" w:rsidRPr="00295134" w:rsidRDefault="00295134" w:rsidP="00295134">
      <w:pPr>
        <w:pStyle w:val="Akapitzlist"/>
        <w:numPr>
          <w:ilvl w:val="0"/>
          <w:numId w:val="27"/>
        </w:numPr>
        <w:tabs>
          <w:tab w:val="left" w:pos="284"/>
          <w:tab w:val="left" w:pos="426"/>
          <w:tab w:val="left" w:pos="993"/>
        </w:tabs>
        <w:spacing w:after="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295134">
        <w:rPr>
          <w:rFonts w:ascii="Arial" w:hAnsi="Arial" w:cs="Arial"/>
          <w:sz w:val="20"/>
          <w:szCs w:val="20"/>
        </w:rPr>
        <w:t>zagęszczanie walcem drogowym,</w:t>
      </w:r>
    </w:p>
    <w:p w14:paraId="5E07E094" w14:textId="77777777" w:rsidR="00295134" w:rsidRDefault="00295134" w:rsidP="00295134">
      <w:pPr>
        <w:pStyle w:val="Akapitzlist"/>
        <w:numPr>
          <w:ilvl w:val="0"/>
          <w:numId w:val="27"/>
        </w:numPr>
        <w:tabs>
          <w:tab w:val="left" w:pos="284"/>
          <w:tab w:val="left" w:pos="426"/>
          <w:tab w:val="left" w:pos="993"/>
        </w:tabs>
        <w:spacing w:after="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295134">
        <w:rPr>
          <w:rFonts w:ascii="Arial" w:hAnsi="Arial" w:cs="Arial"/>
          <w:sz w:val="20"/>
          <w:szCs w:val="20"/>
        </w:rPr>
        <w:t>wyrównywanie drogi gruntowej tłuczniem,</w:t>
      </w:r>
    </w:p>
    <w:p w14:paraId="6F3F6847" w14:textId="77777777" w:rsidR="00295134" w:rsidRPr="00295134" w:rsidRDefault="00295134" w:rsidP="00295134">
      <w:pPr>
        <w:pStyle w:val="Akapitzlist"/>
        <w:numPr>
          <w:ilvl w:val="0"/>
          <w:numId w:val="24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95134">
        <w:rPr>
          <w:rFonts w:ascii="Arial" w:hAnsi="Arial" w:cs="Arial"/>
          <w:sz w:val="20"/>
          <w:szCs w:val="20"/>
        </w:rPr>
        <w:t>dla dróg o nawierzchni tłuczniowej:</w:t>
      </w:r>
    </w:p>
    <w:p w14:paraId="6E9055D0" w14:textId="77777777" w:rsidR="00295134" w:rsidRPr="00295134" w:rsidRDefault="00295134" w:rsidP="00295134">
      <w:pPr>
        <w:pStyle w:val="Akapitzlist"/>
        <w:numPr>
          <w:ilvl w:val="0"/>
          <w:numId w:val="28"/>
        </w:numPr>
        <w:tabs>
          <w:tab w:val="left" w:pos="284"/>
          <w:tab w:val="left" w:pos="426"/>
          <w:tab w:val="left" w:pos="993"/>
        </w:tabs>
        <w:spacing w:after="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295134">
        <w:rPr>
          <w:rFonts w:ascii="Arial" w:hAnsi="Arial" w:cs="Arial"/>
          <w:sz w:val="20"/>
          <w:szCs w:val="20"/>
        </w:rPr>
        <w:t xml:space="preserve">uzupełnienie i wyrównanie nawierzchni tłuczniem kamiennym, </w:t>
      </w:r>
    </w:p>
    <w:p w14:paraId="32390DAA" w14:textId="77777777" w:rsidR="00295134" w:rsidRPr="00295134" w:rsidRDefault="00295134" w:rsidP="00295134">
      <w:pPr>
        <w:pStyle w:val="Akapitzlist"/>
        <w:numPr>
          <w:ilvl w:val="0"/>
          <w:numId w:val="28"/>
        </w:numPr>
        <w:tabs>
          <w:tab w:val="left" w:pos="284"/>
          <w:tab w:val="left" w:pos="426"/>
          <w:tab w:val="left" w:pos="993"/>
        </w:tabs>
        <w:spacing w:after="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295134">
        <w:rPr>
          <w:rFonts w:ascii="Arial" w:hAnsi="Arial" w:cs="Arial"/>
          <w:sz w:val="20"/>
          <w:szCs w:val="20"/>
        </w:rPr>
        <w:t>zagęszczenie tłucznia mechaniczne.</w:t>
      </w:r>
    </w:p>
    <w:p w14:paraId="51CE0B66" w14:textId="77777777" w:rsidR="00295134" w:rsidRDefault="00295134" w:rsidP="00C92ABB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after="0" w:line="360" w:lineRule="auto"/>
        <w:ind w:left="284" w:hanging="295"/>
        <w:jc w:val="both"/>
        <w:rPr>
          <w:rFonts w:ascii="Arial" w:hAnsi="Arial" w:cs="Arial"/>
          <w:sz w:val="20"/>
          <w:szCs w:val="20"/>
        </w:rPr>
      </w:pPr>
      <w:r w:rsidRPr="00295134">
        <w:rPr>
          <w:rFonts w:ascii="Arial" w:hAnsi="Arial" w:cs="Arial"/>
          <w:sz w:val="20"/>
          <w:szCs w:val="20"/>
        </w:rPr>
        <w:t>Szacunkowa ilość oraz rodzaj robót przewidzianych do wykonania w ramach niniejszego zamówienia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5596"/>
        <w:gridCol w:w="1417"/>
        <w:gridCol w:w="1418"/>
      </w:tblGrid>
      <w:tr w:rsidR="00295134" w:rsidRPr="00245E62" w14:paraId="4CF7CC25" w14:textId="77777777" w:rsidTr="0029513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1D52" w14:textId="77777777" w:rsidR="00295134" w:rsidRPr="00245E62" w:rsidRDefault="00295134" w:rsidP="00295134">
            <w:pPr>
              <w:pStyle w:val="Standard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5E62"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C7C1" w14:textId="77777777" w:rsidR="00295134" w:rsidRPr="00245E62" w:rsidRDefault="00295134" w:rsidP="00BB12B1">
            <w:pPr>
              <w:pStyle w:val="Standard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5E62">
              <w:rPr>
                <w:rFonts w:ascii="Arial" w:hAnsi="Arial" w:cs="Arial"/>
                <w:sz w:val="20"/>
                <w:szCs w:val="20"/>
                <w:lang w:eastAsia="en-US"/>
              </w:rPr>
              <w:t>Opis robót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FF58" w14:textId="77777777" w:rsidR="00295134" w:rsidRPr="00245E62" w:rsidRDefault="00295134" w:rsidP="00BB12B1">
            <w:pPr>
              <w:pStyle w:val="Standard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5E62">
              <w:rPr>
                <w:rFonts w:ascii="Arial" w:hAnsi="Arial" w:cs="Arial"/>
                <w:sz w:val="20"/>
                <w:szCs w:val="20"/>
                <w:lang w:eastAsia="en-US"/>
              </w:rPr>
              <w:t>Jedn. miary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B0B5" w14:textId="77777777" w:rsidR="00295134" w:rsidRPr="00245E62" w:rsidRDefault="00295134" w:rsidP="00BB12B1">
            <w:pPr>
              <w:pStyle w:val="Standard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5E62">
              <w:rPr>
                <w:rFonts w:ascii="Arial" w:hAnsi="Arial" w:cs="Arial"/>
                <w:sz w:val="20"/>
                <w:szCs w:val="20"/>
                <w:lang w:eastAsia="en-US"/>
              </w:rPr>
              <w:t>Ilość jedn.</w:t>
            </w:r>
          </w:p>
        </w:tc>
      </w:tr>
      <w:tr w:rsidR="00295134" w:rsidRPr="00245E62" w14:paraId="66BE207D" w14:textId="77777777" w:rsidTr="0029513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90B7" w14:textId="77777777" w:rsidR="00295134" w:rsidRPr="00245E62" w:rsidRDefault="00295134" w:rsidP="007E17E8">
            <w:pPr>
              <w:pStyle w:val="Standard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5E62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9E30" w14:textId="77777777" w:rsidR="00295134" w:rsidRPr="00245E62" w:rsidRDefault="00295134" w:rsidP="00BB12B1">
            <w:pPr>
              <w:pStyle w:val="Standard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5E62">
              <w:rPr>
                <w:rFonts w:ascii="Arial" w:hAnsi="Arial" w:cs="Arial"/>
                <w:sz w:val="20"/>
                <w:szCs w:val="20"/>
                <w:lang w:eastAsia="en-US"/>
              </w:rPr>
              <w:t>Naprawy dróg gruntowych oraz plantowanie poboczy. Naprawy dróg gruntowych – profilowanie mechaniczne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6BE2" w14:textId="77777777" w:rsidR="00295134" w:rsidRPr="00245E62" w:rsidRDefault="00295134" w:rsidP="00BB12B1">
            <w:pPr>
              <w:pStyle w:val="Standard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245E62"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Pr="00245E62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8BC7" w14:textId="414DF107" w:rsidR="00295134" w:rsidRPr="00245E62" w:rsidRDefault="00BE502D" w:rsidP="00BB12B1">
            <w:pPr>
              <w:pStyle w:val="Standard"/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125 </w:t>
            </w:r>
            <w:r w:rsidR="00295134" w:rsidRPr="00245E62">
              <w:rPr>
                <w:rFonts w:ascii="Arial" w:hAnsi="Arial" w:cs="Arial"/>
                <w:sz w:val="20"/>
                <w:szCs w:val="20"/>
                <w:lang w:eastAsia="en-US"/>
              </w:rPr>
              <w:t>000</w:t>
            </w:r>
          </w:p>
        </w:tc>
      </w:tr>
      <w:tr w:rsidR="00295134" w:rsidRPr="00245E62" w14:paraId="6D79BEC4" w14:textId="77777777" w:rsidTr="00295134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5B64" w14:textId="77777777" w:rsidR="00295134" w:rsidRPr="00245E62" w:rsidRDefault="00295134" w:rsidP="007E17E8">
            <w:pPr>
              <w:pStyle w:val="Standard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5E62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C819" w14:textId="77777777" w:rsidR="00295134" w:rsidRPr="00245E62" w:rsidRDefault="00295134" w:rsidP="00BB12B1">
            <w:pPr>
              <w:pStyle w:val="Standard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5E62">
              <w:rPr>
                <w:rFonts w:ascii="Arial" w:hAnsi="Arial" w:cs="Arial"/>
                <w:sz w:val="20"/>
                <w:szCs w:val="20"/>
                <w:lang w:eastAsia="en-US"/>
              </w:rPr>
              <w:t>Naprawy dróg gruntowych oraz plantowanie poboczy. Naprawy dróg gruntowych –  zagęszczanie mechaniczne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2679" w14:textId="77777777" w:rsidR="00295134" w:rsidRPr="00245E62" w:rsidRDefault="00295134" w:rsidP="00BB12B1">
            <w:pPr>
              <w:pStyle w:val="Standard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5E62"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Pr="00245E62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BD0E" w14:textId="5607FFF6" w:rsidR="00295134" w:rsidRPr="00245E62" w:rsidRDefault="00BE502D" w:rsidP="00BB12B1">
            <w:pPr>
              <w:pStyle w:val="Standard"/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</w:t>
            </w:r>
            <w:r w:rsidR="00295134" w:rsidRPr="00245E6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000</w:t>
            </w:r>
          </w:p>
        </w:tc>
      </w:tr>
      <w:tr w:rsidR="00295134" w:rsidRPr="00245E62" w14:paraId="20DB9D01" w14:textId="77777777" w:rsidTr="00295134">
        <w:trPr>
          <w:cantSplit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48A1" w14:textId="77777777" w:rsidR="00295134" w:rsidRPr="00245E62" w:rsidRDefault="00295134" w:rsidP="007E17E8">
            <w:pPr>
              <w:pStyle w:val="Standard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5E62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4A30" w14:textId="77777777" w:rsidR="00295134" w:rsidRPr="00245E62" w:rsidRDefault="00295134" w:rsidP="00BB12B1">
            <w:pPr>
              <w:pStyle w:val="Standard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5E62">
              <w:rPr>
                <w:rFonts w:ascii="Arial" w:hAnsi="Arial" w:cs="Arial"/>
                <w:sz w:val="20"/>
                <w:szCs w:val="20"/>
                <w:lang w:eastAsia="en-US"/>
              </w:rPr>
              <w:t>Naprawa dróg gruntowych wykonywane mechanicznie. Uzupełnienie zaniżeń kruszywem wapiennym 0/31,50 mm, sposób zagęszczania mechaniczny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FD77" w14:textId="77777777" w:rsidR="00295134" w:rsidRPr="00245E62" w:rsidRDefault="00295134" w:rsidP="00BB12B1">
            <w:pPr>
              <w:pStyle w:val="Standard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5E62"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Pr="00245E62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7289" w14:textId="1CC8BAAF" w:rsidR="00295134" w:rsidRPr="00245E62" w:rsidRDefault="00BE502D" w:rsidP="00BB12B1">
            <w:pPr>
              <w:pStyle w:val="Standard"/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2 000</w:t>
            </w:r>
          </w:p>
        </w:tc>
      </w:tr>
      <w:tr w:rsidR="00295134" w:rsidRPr="00245E62" w14:paraId="49F5345D" w14:textId="77777777" w:rsidTr="0029513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01C9" w14:textId="77777777" w:rsidR="00295134" w:rsidRPr="00245E62" w:rsidRDefault="00295134" w:rsidP="007E17E8">
            <w:pPr>
              <w:pStyle w:val="Standard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5E62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4E5D" w14:textId="77777777" w:rsidR="00295134" w:rsidRPr="00245E62" w:rsidRDefault="00295134" w:rsidP="00BB12B1">
            <w:pPr>
              <w:pStyle w:val="Standard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5E62">
              <w:rPr>
                <w:rFonts w:ascii="Arial" w:hAnsi="Arial" w:cs="Arial"/>
                <w:sz w:val="20"/>
                <w:szCs w:val="20"/>
                <w:lang w:eastAsia="en-US"/>
              </w:rPr>
              <w:t>Naprawa dróg o nawierzchni tłuczniowej wykonywana mechanicznie. Uzupełnienie zaniżeń kruszywem wapiennym 0/31,5 mm, sposób zagęszczenia mechaniczny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3787" w14:textId="77777777" w:rsidR="00295134" w:rsidRPr="00245E62" w:rsidRDefault="00295134" w:rsidP="00BB12B1">
            <w:pPr>
              <w:pStyle w:val="Standard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5E62"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Pr="00245E62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05B2" w14:textId="1AEF6555" w:rsidR="00295134" w:rsidRPr="00245E62" w:rsidRDefault="00BE502D" w:rsidP="00BB12B1">
            <w:pPr>
              <w:pStyle w:val="Standard"/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1 100</w:t>
            </w:r>
          </w:p>
        </w:tc>
      </w:tr>
    </w:tbl>
    <w:p w14:paraId="5EE69E30" w14:textId="77777777" w:rsidR="00295134" w:rsidRDefault="00295134" w:rsidP="007E17E8">
      <w:pPr>
        <w:pStyle w:val="Akapitzlist"/>
        <w:tabs>
          <w:tab w:val="left" w:pos="284"/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04F7F70" w14:textId="77777777" w:rsidR="00295134" w:rsidRPr="00295134" w:rsidRDefault="00295134" w:rsidP="00C92ABB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after="0" w:line="360" w:lineRule="auto"/>
        <w:ind w:left="284" w:hanging="295"/>
        <w:jc w:val="both"/>
        <w:rPr>
          <w:rFonts w:ascii="Arial" w:hAnsi="Arial" w:cs="Arial"/>
          <w:sz w:val="20"/>
          <w:szCs w:val="20"/>
        </w:rPr>
      </w:pPr>
      <w:r w:rsidRPr="00295134">
        <w:rPr>
          <w:rFonts w:ascii="Arial" w:hAnsi="Arial" w:cs="Arial"/>
          <w:sz w:val="20"/>
          <w:szCs w:val="20"/>
        </w:rPr>
        <w:t xml:space="preserve"> Szczegółowy opis przedmiotu za</w:t>
      </w:r>
      <w:r>
        <w:rPr>
          <w:rFonts w:ascii="Arial" w:hAnsi="Arial" w:cs="Arial"/>
          <w:sz w:val="20"/>
          <w:szCs w:val="20"/>
        </w:rPr>
        <w:t xml:space="preserve">mówienia zawiera </w:t>
      </w:r>
      <w:r w:rsidRPr="00C92ABB">
        <w:rPr>
          <w:rFonts w:ascii="Arial" w:hAnsi="Arial" w:cs="Arial"/>
          <w:b/>
          <w:sz w:val="20"/>
          <w:szCs w:val="20"/>
        </w:rPr>
        <w:t>załącznik nr 7</w:t>
      </w:r>
      <w:r>
        <w:rPr>
          <w:rFonts w:ascii="Arial" w:hAnsi="Arial" w:cs="Arial"/>
          <w:sz w:val="20"/>
          <w:szCs w:val="20"/>
        </w:rPr>
        <w:t xml:space="preserve"> </w:t>
      </w:r>
      <w:r w:rsidRPr="00295134">
        <w:rPr>
          <w:rFonts w:ascii="Arial" w:hAnsi="Arial" w:cs="Arial"/>
          <w:sz w:val="20"/>
          <w:szCs w:val="20"/>
        </w:rPr>
        <w:t>–  Szczegółowe Specyfikacje Techniczne.</w:t>
      </w:r>
    </w:p>
    <w:p w14:paraId="14D8CA06" w14:textId="77777777" w:rsidR="00295134" w:rsidRPr="00295134" w:rsidRDefault="00295134" w:rsidP="00295134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after="0" w:line="360" w:lineRule="auto"/>
        <w:ind w:left="0" w:hanging="11"/>
        <w:jc w:val="both"/>
        <w:rPr>
          <w:rFonts w:ascii="Arial" w:hAnsi="Arial" w:cs="Arial"/>
          <w:sz w:val="20"/>
          <w:szCs w:val="20"/>
        </w:rPr>
      </w:pPr>
      <w:r w:rsidRPr="00295134">
        <w:rPr>
          <w:rFonts w:ascii="Arial" w:hAnsi="Arial" w:cs="Arial"/>
          <w:sz w:val="20"/>
          <w:szCs w:val="20"/>
        </w:rPr>
        <w:t>Miejsca wykonania zamówienia zostaną wskazane w terenie przez Zamawiającego.</w:t>
      </w:r>
    </w:p>
    <w:p w14:paraId="5BCB15F4" w14:textId="77777777" w:rsidR="006D3F2C" w:rsidRPr="00D17036" w:rsidRDefault="00533935" w:rsidP="009B2E36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17036">
        <w:rPr>
          <w:rFonts w:ascii="Arial" w:hAnsi="Arial" w:cs="Arial"/>
          <w:sz w:val="20"/>
          <w:szCs w:val="20"/>
          <w:lang w:eastAsia="zh-CN"/>
        </w:rPr>
        <w:t>Jeżeli dokumentacja techniczna wskazywałyby w odniesieniu do niektórych materiałów i urządzeń znaki towarowe lub pochodzenie, Zamawiający dopuszcza składanie materiałów równoważnych. Wszelkie materiały pochodzące od konkretnych producentów, określają minimalne parametry jakościowe i cechy użytkowe, jakim muszą odpowiadać towary, aby spełnić wymagan</w:t>
      </w:r>
      <w:r w:rsidR="00D17036">
        <w:rPr>
          <w:rFonts w:ascii="Arial" w:hAnsi="Arial" w:cs="Arial"/>
          <w:sz w:val="20"/>
          <w:szCs w:val="20"/>
          <w:lang w:eastAsia="zh-CN"/>
        </w:rPr>
        <w:t xml:space="preserve">ia stawiane przez Zamawiającego </w:t>
      </w:r>
      <w:r w:rsidRPr="00D17036">
        <w:rPr>
          <w:rFonts w:ascii="Arial" w:hAnsi="Arial" w:cs="Arial"/>
          <w:sz w:val="20"/>
          <w:szCs w:val="20"/>
          <w:lang w:eastAsia="zh-CN"/>
        </w:rPr>
        <w:t>i stanowią wyłącznie wzorzec jakościowy przedmiotu zamówienia. Poprzez zapis dotyczący minimalnych wymagań parametrów jakościowych, Zamawiający rozumie wymagania towarów zawarte w ogólnie dostępnych źródłach, katalogach, stronach internetowych producentów. Operowanie p</w:t>
      </w:r>
      <w:r w:rsidR="00D17036">
        <w:rPr>
          <w:rFonts w:ascii="Arial" w:hAnsi="Arial" w:cs="Arial"/>
          <w:sz w:val="20"/>
          <w:szCs w:val="20"/>
          <w:lang w:eastAsia="zh-CN"/>
        </w:rPr>
        <w:t xml:space="preserve">rzykładowymi nazwami producenta </w:t>
      </w:r>
      <w:r w:rsidRPr="00D17036">
        <w:rPr>
          <w:rFonts w:ascii="Arial" w:hAnsi="Arial" w:cs="Arial"/>
          <w:sz w:val="20"/>
          <w:szCs w:val="20"/>
          <w:lang w:eastAsia="zh-CN"/>
        </w:rPr>
        <w:t>ma jedynie na celu doprecyzowanie poziomu ocz</w:t>
      </w:r>
      <w:r w:rsidR="00D17036">
        <w:rPr>
          <w:rFonts w:ascii="Arial" w:hAnsi="Arial" w:cs="Arial"/>
          <w:sz w:val="20"/>
          <w:szCs w:val="20"/>
          <w:lang w:eastAsia="zh-CN"/>
        </w:rPr>
        <w:t xml:space="preserve">ekiwań Zamawiającego w stosunku </w:t>
      </w:r>
      <w:r w:rsidRPr="00D17036">
        <w:rPr>
          <w:rFonts w:ascii="Arial" w:hAnsi="Arial" w:cs="Arial"/>
          <w:sz w:val="20"/>
          <w:szCs w:val="20"/>
          <w:lang w:eastAsia="zh-CN"/>
        </w:rPr>
        <w:t>do określonego rozwiązania. Posługiwanie si</w:t>
      </w:r>
      <w:r w:rsidR="00D17036">
        <w:rPr>
          <w:rFonts w:ascii="Arial" w:hAnsi="Arial" w:cs="Arial"/>
          <w:sz w:val="20"/>
          <w:szCs w:val="20"/>
          <w:lang w:eastAsia="zh-CN"/>
        </w:rPr>
        <w:t xml:space="preserve">ę nazwami producentów/produktów </w:t>
      </w:r>
      <w:r w:rsidRPr="00D17036">
        <w:rPr>
          <w:rFonts w:ascii="Arial" w:hAnsi="Arial" w:cs="Arial"/>
          <w:sz w:val="20"/>
          <w:szCs w:val="20"/>
          <w:lang w:eastAsia="zh-CN"/>
        </w:rPr>
        <w:t xml:space="preserve">ma wyłącznie charakter przykładowy. Zamawiający przy opisie przedmiotu zamówienia, wskazując oznaczenie konkretnego producenta (dostawcy) lub konkretny </w:t>
      </w:r>
      <w:r w:rsidRPr="00D17036">
        <w:rPr>
          <w:rFonts w:ascii="Arial" w:hAnsi="Arial" w:cs="Arial"/>
          <w:sz w:val="20"/>
          <w:szCs w:val="20"/>
          <w:lang w:eastAsia="zh-CN"/>
        </w:rPr>
        <w:lastRenderedPageBreak/>
        <w:t>produkt, dopuszcza jednocześnie produkty równoważne o parametrach jakościowych</w:t>
      </w:r>
      <w:r w:rsidR="00D17036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D17036">
        <w:rPr>
          <w:rFonts w:ascii="Arial" w:hAnsi="Arial" w:cs="Arial"/>
          <w:sz w:val="20"/>
          <w:szCs w:val="20"/>
          <w:lang w:eastAsia="zh-CN"/>
        </w:rPr>
        <w:t>i cechach użytkowych, co najmniej na poziomie parametrów wskazanego produktu, uznając tym samym każdy produkt o wskazanych parametrach lub lepszych. W takiej sytuacji Zamawiający wymaga złożenia stosownych dokumentów, uwiarygodniających te materiały lub urządzenia. Będą one podlegały ocenie przez Zamawiającego, która będzie podstawą do podjęcia prz</w:t>
      </w:r>
      <w:r w:rsidR="00D17036">
        <w:rPr>
          <w:rFonts w:ascii="Arial" w:hAnsi="Arial" w:cs="Arial"/>
          <w:sz w:val="20"/>
          <w:szCs w:val="20"/>
          <w:lang w:eastAsia="zh-CN"/>
        </w:rPr>
        <w:t xml:space="preserve">ez Zamawiającego decyzji </w:t>
      </w:r>
      <w:r w:rsidRPr="00D17036">
        <w:rPr>
          <w:rFonts w:ascii="Arial" w:hAnsi="Arial" w:cs="Arial"/>
          <w:sz w:val="20"/>
          <w:szCs w:val="20"/>
          <w:lang w:eastAsia="zh-CN"/>
        </w:rPr>
        <w:t xml:space="preserve">o akceptacji materiałów równoważnych. </w:t>
      </w:r>
    </w:p>
    <w:p w14:paraId="19162050" w14:textId="77777777" w:rsidR="006D3F2C" w:rsidRPr="00D17036" w:rsidRDefault="00533935" w:rsidP="009B2E36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17036">
        <w:rPr>
          <w:rFonts w:ascii="Arial" w:hAnsi="Arial" w:cs="Arial"/>
          <w:sz w:val="20"/>
          <w:szCs w:val="20"/>
          <w:lang w:eastAsia="zh-CN"/>
        </w:rPr>
        <w:t xml:space="preserve">Wykonawca zobowiązany jest wykonać przedmiot zamówienia zgodnie ze sztuką budowlaną  i obowiązującymi przepisami prawa, </w:t>
      </w:r>
      <w:r w:rsidR="00D17036">
        <w:rPr>
          <w:rFonts w:ascii="Arial" w:hAnsi="Arial" w:cs="Arial"/>
          <w:sz w:val="20"/>
          <w:szCs w:val="20"/>
          <w:lang w:eastAsia="zh-CN"/>
        </w:rPr>
        <w:t xml:space="preserve">a w szczególności ustawą z dnia </w:t>
      </w:r>
      <w:r w:rsidRPr="00D17036">
        <w:rPr>
          <w:rFonts w:ascii="Arial" w:hAnsi="Arial" w:cs="Arial"/>
          <w:sz w:val="20"/>
          <w:szCs w:val="20"/>
          <w:lang w:eastAsia="zh-CN"/>
        </w:rPr>
        <w:t>07 lipca 1994 roku Prawo budowlane (Dz. U. z 2020 r., poz. 1333). Prace muszą być wykonane zgodnie z warunkami technicznymi i wymogami oraz normami przy tego typu robotach. Wszystkie materiały wykorzystane do wykonania przedmiotu zamówienia muszą być dopuszczone do stosowania zgodnie z obowiązującymi przepisami.</w:t>
      </w:r>
    </w:p>
    <w:p w14:paraId="00E25B68" w14:textId="77777777" w:rsidR="006D3F2C" w:rsidRPr="00D17036" w:rsidRDefault="00533935" w:rsidP="009B2E36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17036">
        <w:rPr>
          <w:rFonts w:ascii="Arial" w:hAnsi="Arial" w:cs="Arial"/>
          <w:sz w:val="20"/>
          <w:szCs w:val="20"/>
          <w:lang w:eastAsia="zh-CN"/>
        </w:rPr>
        <w:t>Przed przygotowaniem oferty, Wykonawca może dokonać wizji lokalnej miejsca robót budowlanych oraz zdobyć własnym staraniem wszelkie informacje, które mogą być konieczne do przygotowania oferty oraz podpisania umowy.</w:t>
      </w:r>
    </w:p>
    <w:p w14:paraId="06D95D0E" w14:textId="77777777" w:rsidR="006D3F2C" w:rsidRPr="00D17036" w:rsidRDefault="00533935" w:rsidP="00FB2125">
      <w:pPr>
        <w:pStyle w:val="Akapitzlist"/>
        <w:numPr>
          <w:ilvl w:val="0"/>
          <w:numId w:val="29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7036">
        <w:rPr>
          <w:rFonts w:ascii="Arial" w:hAnsi="Arial" w:cs="Arial"/>
          <w:sz w:val="20"/>
          <w:szCs w:val="20"/>
        </w:rPr>
        <w:t xml:space="preserve">Do Wykonawcy należeć będzie </w:t>
      </w:r>
      <w:r w:rsidR="00D17036">
        <w:rPr>
          <w:rFonts w:ascii="Arial" w:hAnsi="Arial" w:cs="Arial"/>
          <w:sz w:val="20"/>
          <w:szCs w:val="20"/>
        </w:rPr>
        <w:t xml:space="preserve">odtworzenie zniszczonych </w:t>
      </w:r>
      <w:r w:rsidRPr="00D17036">
        <w:rPr>
          <w:rFonts w:ascii="Arial" w:hAnsi="Arial" w:cs="Arial"/>
          <w:sz w:val="20"/>
          <w:szCs w:val="20"/>
        </w:rPr>
        <w:t>lub  zdewastowanych  nawierzchni  utwardzony</w:t>
      </w:r>
      <w:r w:rsidR="00D17036">
        <w:rPr>
          <w:rFonts w:ascii="Arial" w:hAnsi="Arial" w:cs="Arial"/>
          <w:sz w:val="20"/>
          <w:szCs w:val="20"/>
        </w:rPr>
        <w:t>ch  i  terenów  zielonych</w:t>
      </w:r>
      <w:r w:rsidRPr="00D17036">
        <w:rPr>
          <w:rFonts w:ascii="Arial" w:hAnsi="Arial" w:cs="Arial"/>
          <w:sz w:val="20"/>
          <w:szCs w:val="20"/>
        </w:rPr>
        <w:t xml:space="preserve"> po prowadzonych pracach budowlanych do stanu pierwotnego.</w:t>
      </w:r>
    </w:p>
    <w:p w14:paraId="5BD3A55F" w14:textId="77777777" w:rsidR="006D3F2C" w:rsidRDefault="00533935" w:rsidP="00FB2125">
      <w:pPr>
        <w:pStyle w:val="Akapitzlist"/>
        <w:numPr>
          <w:ilvl w:val="0"/>
          <w:numId w:val="29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17036">
        <w:rPr>
          <w:rFonts w:ascii="Arial" w:hAnsi="Arial" w:cs="Arial"/>
          <w:sz w:val="20"/>
          <w:szCs w:val="20"/>
        </w:rPr>
        <w:t>Wykonawca jest obowiązany do śc</w:t>
      </w:r>
      <w:r w:rsidR="00D17036">
        <w:rPr>
          <w:rFonts w:ascii="Arial" w:hAnsi="Arial" w:cs="Arial"/>
          <w:sz w:val="20"/>
          <w:szCs w:val="20"/>
        </w:rPr>
        <w:t>isłej współpracy z Zamawiającym</w:t>
      </w:r>
      <w:r w:rsidRPr="00D17036">
        <w:rPr>
          <w:rFonts w:ascii="Arial" w:hAnsi="Arial" w:cs="Arial"/>
          <w:sz w:val="20"/>
          <w:szCs w:val="20"/>
        </w:rPr>
        <w:t>.</w:t>
      </w:r>
    </w:p>
    <w:p w14:paraId="617C1732" w14:textId="77777777" w:rsidR="00F7306A" w:rsidRPr="00F7306A" w:rsidRDefault="00F7306A" w:rsidP="00FB2125">
      <w:pPr>
        <w:pStyle w:val="Akapitzlist"/>
        <w:numPr>
          <w:ilvl w:val="0"/>
          <w:numId w:val="29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306A">
        <w:rPr>
          <w:rFonts w:ascii="Arial" w:hAnsi="Arial" w:cs="Arial"/>
          <w:sz w:val="20"/>
          <w:szCs w:val="20"/>
        </w:rPr>
        <w:t>Wymagania dot. zatrudnienia osób wykonujących wskazane czynności w zakresie realizacji zamówienia na podstawie umowy o pracę.</w:t>
      </w:r>
    </w:p>
    <w:p w14:paraId="7092CE0D" w14:textId="77777777" w:rsidR="00F7306A" w:rsidRPr="00F7306A" w:rsidRDefault="00F7306A" w:rsidP="00B02B14">
      <w:pPr>
        <w:pStyle w:val="Default"/>
        <w:numPr>
          <w:ilvl w:val="0"/>
          <w:numId w:val="21"/>
        </w:numPr>
        <w:spacing w:line="360" w:lineRule="auto"/>
        <w:ind w:left="567" w:hanging="425"/>
        <w:jc w:val="both"/>
        <w:rPr>
          <w:bCs/>
          <w:color w:val="auto"/>
          <w:sz w:val="20"/>
          <w:szCs w:val="20"/>
          <w:lang w:eastAsia="pl-PL"/>
        </w:rPr>
      </w:pPr>
      <w:r w:rsidRPr="00F7306A">
        <w:rPr>
          <w:bCs/>
          <w:color w:val="auto"/>
          <w:sz w:val="20"/>
          <w:szCs w:val="20"/>
          <w:lang w:eastAsia="pl-PL"/>
        </w:rPr>
        <w:t xml:space="preserve">W oparciu o art. </w:t>
      </w:r>
      <w:r>
        <w:rPr>
          <w:bCs/>
          <w:color w:val="auto"/>
          <w:sz w:val="20"/>
          <w:szCs w:val="20"/>
          <w:lang w:eastAsia="pl-PL"/>
        </w:rPr>
        <w:t>95</w:t>
      </w:r>
      <w:r w:rsidRPr="00F7306A">
        <w:rPr>
          <w:bCs/>
          <w:color w:val="auto"/>
          <w:sz w:val="20"/>
          <w:szCs w:val="20"/>
          <w:lang w:eastAsia="pl-PL"/>
        </w:rPr>
        <w:t xml:space="preserve"> ust. </w:t>
      </w:r>
      <w:r>
        <w:rPr>
          <w:bCs/>
          <w:color w:val="auto"/>
          <w:sz w:val="20"/>
          <w:szCs w:val="20"/>
          <w:lang w:eastAsia="pl-PL"/>
        </w:rPr>
        <w:t xml:space="preserve">1 </w:t>
      </w:r>
      <w:proofErr w:type="spellStart"/>
      <w:r>
        <w:rPr>
          <w:bCs/>
          <w:color w:val="auto"/>
          <w:sz w:val="20"/>
          <w:szCs w:val="20"/>
          <w:lang w:eastAsia="pl-PL"/>
        </w:rPr>
        <w:t>p.z.p</w:t>
      </w:r>
      <w:proofErr w:type="spellEnd"/>
      <w:r>
        <w:rPr>
          <w:bCs/>
          <w:color w:val="auto"/>
          <w:sz w:val="20"/>
          <w:szCs w:val="20"/>
          <w:lang w:eastAsia="pl-PL"/>
        </w:rPr>
        <w:t>.</w:t>
      </w:r>
      <w:r w:rsidRPr="00F7306A">
        <w:rPr>
          <w:bCs/>
          <w:color w:val="auto"/>
          <w:sz w:val="20"/>
          <w:szCs w:val="20"/>
          <w:lang w:eastAsia="pl-PL"/>
        </w:rPr>
        <w:t xml:space="preserve"> Zamawiający wymaga zatrudnienia przez Wykonawcę lub podwykonawcę na podstawie umowy o pracę, przez cały okres realizacji zamówienia, osób wykonujących wskazane poniżej czynności:</w:t>
      </w:r>
    </w:p>
    <w:p w14:paraId="4AF7B059" w14:textId="77777777" w:rsidR="00F7306A" w:rsidRPr="00F7306A" w:rsidRDefault="00F7306A" w:rsidP="00B02B14">
      <w:pPr>
        <w:pStyle w:val="Default"/>
        <w:numPr>
          <w:ilvl w:val="0"/>
          <w:numId w:val="20"/>
        </w:numPr>
        <w:tabs>
          <w:tab w:val="left" w:pos="993"/>
        </w:tabs>
        <w:spacing w:line="360" w:lineRule="auto"/>
        <w:ind w:left="851" w:hanging="142"/>
        <w:jc w:val="both"/>
        <w:rPr>
          <w:color w:val="auto"/>
          <w:sz w:val="20"/>
          <w:szCs w:val="20"/>
        </w:rPr>
      </w:pPr>
      <w:r w:rsidRPr="00F7306A">
        <w:rPr>
          <w:bCs/>
          <w:color w:val="auto"/>
          <w:sz w:val="20"/>
          <w:szCs w:val="20"/>
        </w:rPr>
        <w:t xml:space="preserve"> roboty przygotowawcze,</w:t>
      </w:r>
    </w:p>
    <w:p w14:paraId="1B352844" w14:textId="77777777" w:rsidR="00F7306A" w:rsidRPr="00F7306A" w:rsidRDefault="00F7306A" w:rsidP="00B02B14">
      <w:pPr>
        <w:pStyle w:val="Default"/>
        <w:numPr>
          <w:ilvl w:val="0"/>
          <w:numId w:val="20"/>
        </w:numPr>
        <w:tabs>
          <w:tab w:val="left" w:pos="993"/>
        </w:tabs>
        <w:spacing w:line="360" w:lineRule="auto"/>
        <w:ind w:left="851" w:hanging="142"/>
        <w:jc w:val="both"/>
        <w:rPr>
          <w:color w:val="auto"/>
          <w:sz w:val="20"/>
          <w:szCs w:val="20"/>
        </w:rPr>
      </w:pPr>
      <w:r w:rsidRPr="00F7306A">
        <w:rPr>
          <w:bCs/>
          <w:color w:val="auto"/>
          <w:sz w:val="20"/>
          <w:szCs w:val="20"/>
        </w:rPr>
        <w:t xml:space="preserve"> roboty </w:t>
      </w:r>
      <w:r w:rsidR="00295134">
        <w:rPr>
          <w:bCs/>
          <w:color w:val="auto"/>
          <w:sz w:val="20"/>
          <w:szCs w:val="20"/>
        </w:rPr>
        <w:t>ziemne</w:t>
      </w:r>
      <w:r w:rsidRPr="00F7306A">
        <w:rPr>
          <w:bCs/>
          <w:color w:val="auto"/>
          <w:sz w:val="20"/>
          <w:szCs w:val="20"/>
        </w:rPr>
        <w:t>,</w:t>
      </w:r>
    </w:p>
    <w:p w14:paraId="61567BB0" w14:textId="77777777" w:rsidR="00F7306A" w:rsidRPr="00295134" w:rsidRDefault="00F7306A" w:rsidP="00B02B14">
      <w:pPr>
        <w:pStyle w:val="Default"/>
        <w:numPr>
          <w:ilvl w:val="0"/>
          <w:numId w:val="20"/>
        </w:numPr>
        <w:tabs>
          <w:tab w:val="left" w:pos="993"/>
        </w:tabs>
        <w:spacing w:line="360" w:lineRule="auto"/>
        <w:ind w:left="851" w:hanging="142"/>
        <w:jc w:val="both"/>
        <w:rPr>
          <w:color w:val="auto"/>
          <w:sz w:val="20"/>
          <w:szCs w:val="20"/>
        </w:rPr>
      </w:pPr>
      <w:r w:rsidRPr="00F7306A">
        <w:rPr>
          <w:bCs/>
          <w:color w:val="auto"/>
          <w:sz w:val="20"/>
          <w:szCs w:val="20"/>
        </w:rPr>
        <w:t xml:space="preserve"> roboty drogowe,</w:t>
      </w:r>
    </w:p>
    <w:p w14:paraId="4DD3F79D" w14:textId="77777777" w:rsidR="00F7306A" w:rsidRPr="00F7306A" w:rsidRDefault="00F7306A" w:rsidP="00B02B14">
      <w:pPr>
        <w:pStyle w:val="Default"/>
        <w:numPr>
          <w:ilvl w:val="0"/>
          <w:numId w:val="20"/>
        </w:numPr>
        <w:tabs>
          <w:tab w:val="left" w:pos="993"/>
        </w:tabs>
        <w:spacing w:line="360" w:lineRule="auto"/>
        <w:ind w:left="851" w:hanging="142"/>
        <w:jc w:val="both"/>
        <w:rPr>
          <w:color w:val="auto"/>
          <w:sz w:val="20"/>
          <w:szCs w:val="20"/>
        </w:rPr>
      </w:pPr>
      <w:r w:rsidRPr="00F7306A">
        <w:rPr>
          <w:bCs/>
          <w:color w:val="auto"/>
          <w:sz w:val="20"/>
          <w:szCs w:val="20"/>
        </w:rPr>
        <w:t xml:space="preserve"> obsługa maszyn i urządzeń budowlanych.</w:t>
      </w:r>
    </w:p>
    <w:p w14:paraId="57CF125B" w14:textId="77777777" w:rsidR="00CD0F8C" w:rsidRDefault="00F7306A" w:rsidP="00B02B14">
      <w:pPr>
        <w:pStyle w:val="Default"/>
        <w:spacing w:line="360" w:lineRule="auto"/>
        <w:ind w:left="567"/>
        <w:jc w:val="both"/>
        <w:rPr>
          <w:color w:val="auto"/>
          <w:sz w:val="20"/>
          <w:szCs w:val="20"/>
          <w:lang w:eastAsia="ar-SA"/>
        </w:rPr>
      </w:pPr>
      <w:r w:rsidRPr="00F7306A">
        <w:rPr>
          <w:color w:val="auto"/>
          <w:sz w:val="20"/>
          <w:szCs w:val="20"/>
        </w:rPr>
        <w:t xml:space="preserve">W przypadku rozwiązania stosunku pracy z pracownikiem przed zakończeniem realizacji robót Wykonawca, zobowiązany będzie do niezwłocznego zatrudnienia na to miejsce innej osoby. </w:t>
      </w:r>
      <w:r w:rsidRPr="00F7306A">
        <w:rPr>
          <w:color w:val="auto"/>
          <w:sz w:val="20"/>
          <w:szCs w:val="20"/>
          <w:lang w:eastAsia="ar-SA"/>
        </w:rPr>
        <w:t xml:space="preserve">Zamawiający dopuszcza zmianę osób podlegających zatrudnieniu </w:t>
      </w:r>
      <w:r w:rsidRPr="00F7306A">
        <w:rPr>
          <w:color w:val="auto"/>
          <w:sz w:val="20"/>
          <w:szCs w:val="20"/>
        </w:rPr>
        <w:t>pod warunkiem, że spełnione zostaną wszystkie powyższe wymagania co do sposobu zatrudnienia na czas realizacji zamówienia</w:t>
      </w:r>
      <w:r w:rsidRPr="00F7306A">
        <w:rPr>
          <w:color w:val="auto"/>
          <w:sz w:val="20"/>
          <w:szCs w:val="20"/>
          <w:lang w:eastAsia="ar-SA"/>
        </w:rPr>
        <w:t>. Zmiany te nie stanowią zmian umowy.</w:t>
      </w:r>
    </w:p>
    <w:p w14:paraId="3E002279" w14:textId="0AF7B171" w:rsidR="00F7306A" w:rsidRPr="00F7306A" w:rsidRDefault="00F7306A" w:rsidP="00B02B14">
      <w:pPr>
        <w:pStyle w:val="Default"/>
        <w:numPr>
          <w:ilvl w:val="0"/>
          <w:numId w:val="21"/>
        </w:numPr>
        <w:spacing w:line="360" w:lineRule="auto"/>
        <w:ind w:left="567"/>
        <w:jc w:val="both"/>
        <w:rPr>
          <w:color w:val="auto"/>
          <w:sz w:val="20"/>
          <w:szCs w:val="20"/>
          <w:lang w:eastAsia="ar-SA"/>
        </w:rPr>
      </w:pPr>
      <w:r w:rsidRPr="00F7306A">
        <w:rPr>
          <w:color w:val="auto"/>
          <w:sz w:val="20"/>
          <w:szCs w:val="20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</w:t>
      </w:r>
      <w:r w:rsidR="00C51BCB">
        <w:rPr>
          <w:color w:val="auto"/>
          <w:sz w:val="20"/>
          <w:szCs w:val="20"/>
        </w:rPr>
        <w:t xml:space="preserve">ust. </w:t>
      </w:r>
      <w:r w:rsidR="00FB2125">
        <w:rPr>
          <w:color w:val="auto"/>
          <w:sz w:val="20"/>
          <w:szCs w:val="20"/>
        </w:rPr>
        <w:t>10</w:t>
      </w:r>
      <w:r w:rsidR="00C51BCB">
        <w:rPr>
          <w:color w:val="auto"/>
          <w:sz w:val="20"/>
          <w:szCs w:val="20"/>
        </w:rPr>
        <w:t xml:space="preserve"> pkt 1)</w:t>
      </w:r>
      <w:r w:rsidRPr="00F7306A">
        <w:rPr>
          <w:color w:val="auto"/>
          <w:sz w:val="20"/>
          <w:szCs w:val="20"/>
        </w:rPr>
        <w:t xml:space="preserve"> czynności. Zamawiający uprawniony jest w szczególności do: </w:t>
      </w:r>
    </w:p>
    <w:p w14:paraId="263747A3" w14:textId="77777777" w:rsidR="00F7306A" w:rsidRPr="00F7306A" w:rsidRDefault="00F7306A" w:rsidP="00F7306A">
      <w:pPr>
        <w:pStyle w:val="Akapitzlist"/>
        <w:numPr>
          <w:ilvl w:val="0"/>
          <w:numId w:val="18"/>
        </w:numPr>
        <w:spacing w:before="120"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F7306A">
        <w:rPr>
          <w:rFonts w:ascii="Arial" w:hAnsi="Arial" w:cs="Arial"/>
          <w:sz w:val="20"/>
          <w:szCs w:val="20"/>
        </w:rPr>
        <w:t>żądania oświadczeń i dokumentów w zakresie potwierdzenia spełniania ww. wymogów i dokonywania ich oceny,</w:t>
      </w:r>
    </w:p>
    <w:p w14:paraId="31C3FD3A" w14:textId="77777777" w:rsidR="00F7306A" w:rsidRPr="00F7306A" w:rsidRDefault="00F7306A" w:rsidP="00F7306A">
      <w:pPr>
        <w:pStyle w:val="Akapitzlist"/>
        <w:numPr>
          <w:ilvl w:val="0"/>
          <w:numId w:val="18"/>
        </w:numPr>
        <w:spacing w:before="120"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F7306A">
        <w:rPr>
          <w:rFonts w:ascii="Arial" w:hAnsi="Arial" w:cs="Arial"/>
          <w:sz w:val="20"/>
          <w:szCs w:val="20"/>
        </w:rPr>
        <w:lastRenderedPageBreak/>
        <w:t>żądania wyjaśnień w przypadku wątpliwości w zakresie potwierdzenia spełniania ww. wymogów,</w:t>
      </w:r>
    </w:p>
    <w:p w14:paraId="46D658B6" w14:textId="77777777" w:rsidR="00F7306A" w:rsidRPr="00F7306A" w:rsidRDefault="00F7306A" w:rsidP="00F7306A">
      <w:pPr>
        <w:pStyle w:val="Akapitzlist"/>
        <w:numPr>
          <w:ilvl w:val="0"/>
          <w:numId w:val="18"/>
        </w:numPr>
        <w:spacing w:before="120"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F7306A">
        <w:rPr>
          <w:rFonts w:ascii="Arial" w:hAnsi="Arial" w:cs="Arial"/>
          <w:sz w:val="20"/>
          <w:szCs w:val="20"/>
        </w:rPr>
        <w:t>przeprowadzania kontroli na miejscu wykonywania świadczenia.</w:t>
      </w:r>
    </w:p>
    <w:p w14:paraId="28161243" w14:textId="0AE73073" w:rsidR="00F7306A" w:rsidRPr="00F7306A" w:rsidRDefault="00F7306A" w:rsidP="00F7306A">
      <w:pPr>
        <w:pStyle w:val="Default"/>
        <w:numPr>
          <w:ilvl w:val="0"/>
          <w:numId w:val="21"/>
        </w:numPr>
        <w:spacing w:line="360" w:lineRule="auto"/>
        <w:ind w:left="567" w:hanging="283"/>
        <w:jc w:val="both"/>
        <w:rPr>
          <w:color w:val="auto"/>
          <w:sz w:val="20"/>
          <w:szCs w:val="20"/>
        </w:rPr>
      </w:pPr>
      <w:r w:rsidRPr="00F7306A">
        <w:rPr>
          <w:color w:val="auto"/>
          <w:sz w:val="20"/>
          <w:szCs w:val="20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</w:t>
      </w:r>
      <w:r w:rsidR="00FB2125">
        <w:rPr>
          <w:color w:val="auto"/>
          <w:sz w:val="20"/>
          <w:szCs w:val="20"/>
        </w:rPr>
        <w:t>10</w:t>
      </w:r>
      <w:r w:rsidRPr="00F7306A">
        <w:rPr>
          <w:color w:val="auto"/>
          <w:sz w:val="20"/>
          <w:szCs w:val="20"/>
        </w:rPr>
        <w:t xml:space="preserve"> pkt 1 czynności w trakcie realizacji zamówienia:</w:t>
      </w:r>
    </w:p>
    <w:p w14:paraId="71C76D80" w14:textId="77777777" w:rsidR="00F7306A" w:rsidRPr="00F7306A" w:rsidRDefault="00F7306A" w:rsidP="00F7306A">
      <w:pPr>
        <w:numPr>
          <w:ilvl w:val="0"/>
          <w:numId w:val="19"/>
        </w:numPr>
        <w:tabs>
          <w:tab w:val="left" w:pos="426"/>
          <w:tab w:val="left" w:pos="993"/>
        </w:tabs>
        <w:spacing w:after="0" w:line="360" w:lineRule="auto"/>
        <w:ind w:left="567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7306A">
        <w:rPr>
          <w:rFonts w:ascii="Arial" w:hAnsi="Arial" w:cs="Arial"/>
          <w:b/>
          <w:bCs/>
          <w:sz w:val="20"/>
          <w:szCs w:val="20"/>
        </w:rPr>
        <w:t xml:space="preserve">oświadczenie Wykonawcy lub podwykonawcy </w:t>
      </w:r>
      <w:r w:rsidRPr="00F7306A">
        <w:rPr>
          <w:rFonts w:ascii="Arial" w:hAnsi="Arial" w:cs="Arial"/>
          <w:bCs/>
          <w:sz w:val="20"/>
          <w:szCs w:val="20"/>
        </w:rPr>
        <w:t>o zatrudnieniu na podstawie umowy                       o pracę osób wykonujących czynności, których dotyczy wezwanie Zamawiającego.</w:t>
      </w:r>
      <w:r w:rsidRPr="00F7306A">
        <w:rPr>
          <w:rFonts w:ascii="Arial" w:hAnsi="Arial" w:cs="Arial"/>
          <w:b/>
          <w:bCs/>
          <w:sz w:val="20"/>
          <w:szCs w:val="20"/>
        </w:rPr>
        <w:t xml:space="preserve"> </w:t>
      </w:r>
      <w:r w:rsidRPr="00F7306A">
        <w:rPr>
          <w:rFonts w:ascii="Arial" w:hAnsi="Arial" w:cs="Arial"/>
          <w:bCs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 ze wskazaniem liczby tych osób, ich imion i nazwisk, rodzaju umowy o pracę i wymiaru zatrudnienia oraz podpis osoby uprawnionej do złożenia oświadczenia w imieniu Wykonawcy lub podwykonawcy;</w:t>
      </w:r>
    </w:p>
    <w:p w14:paraId="0AC0CD8D" w14:textId="77777777" w:rsidR="00F7306A" w:rsidRPr="00F7306A" w:rsidRDefault="00F7306A" w:rsidP="00F7306A">
      <w:pPr>
        <w:numPr>
          <w:ilvl w:val="0"/>
          <w:numId w:val="19"/>
        </w:numPr>
        <w:tabs>
          <w:tab w:val="left" w:pos="426"/>
          <w:tab w:val="left" w:pos="993"/>
        </w:tabs>
        <w:spacing w:before="120" w:after="0" w:line="360" w:lineRule="auto"/>
        <w:ind w:left="567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7306A">
        <w:rPr>
          <w:rFonts w:ascii="Arial" w:hAnsi="Arial" w:cs="Arial"/>
          <w:bCs/>
          <w:sz w:val="20"/>
          <w:szCs w:val="20"/>
        </w:rPr>
        <w:t>poświadczoną za zgodność z oryginałem odpowiednio przez wykonawcę lub podwykonawcę</w:t>
      </w:r>
      <w:r w:rsidRPr="00F7306A">
        <w:rPr>
          <w:rFonts w:ascii="Arial" w:hAnsi="Arial" w:cs="Arial"/>
          <w:b/>
          <w:bCs/>
          <w:sz w:val="20"/>
          <w:szCs w:val="20"/>
        </w:rPr>
        <w:t xml:space="preserve"> kopię umowy/umów o pracę</w:t>
      </w:r>
      <w:r w:rsidRPr="00F7306A">
        <w:rPr>
          <w:rFonts w:ascii="Arial" w:hAnsi="Arial" w:cs="Arial"/>
          <w:bCs/>
          <w:sz w:val="20"/>
          <w:szCs w:val="20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 o ochronie danych osobowych tj. w szczególności bez adresów, nr PESEL, jednak z zapewnieniem dostępności imienia i nazwiska pracownika dla identyfikacji dokumentu wraz z informacjami takimi jak: data zawarcia umowy, rodzaj umowy  o pracę  i wymiar zatrudnienia;</w:t>
      </w:r>
    </w:p>
    <w:p w14:paraId="219A4C0D" w14:textId="77777777" w:rsidR="00F7306A" w:rsidRPr="00F7306A" w:rsidRDefault="00F7306A" w:rsidP="00F7306A">
      <w:pPr>
        <w:numPr>
          <w:ilvl w:val="0"/>
          <w:numId w:val="19"/>
        </w:numPr>
        <w:tabs>
          <w:tab w:val="left" w:pos="426"/>
          <w:tab w:val="left" w:pos="993"/>
        </w:tabs>
        <w:spacing w:before="120" w:after="0" w:line="360" w:lineRule="auto"/>
        <w:ind w:left="567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7306A">
        <w:rPr>
          <w:rFonts w:ascii="Arial" w:hAnsi="Arial" w:cs="Arial"/>
          <w:b/>
          <w:bCs/>
          <w:sz w:val="20"/>
          <w:szCs w:val="20"/>
        </w:rPr>
        <w:t>zaświadczenie właściwego oddziału ZUS,</w:t>
      </w:r>
      <w:r w:rsidRPr="00F7306A">
        <w:rPr>
          <w:rFonts w:ascii="Arial" w:hAnsi="Arial" w:cs="Arial"/>
          <w:bCs/>
          <w:sz w:val="20"/>
          <w:szCs w:val="20"/>
        </w:rPr>
        <w:t xml:space="preserve"> potwierdzające opłacanie przez Wykonawcę lub podwykonawcę składek na ubezpieczenia społeczne i zdrowotne z tytułu zatrudnienia  na podstawie umów o pracę za ostatni okres rozliczeniowy;</w:t>
      </w:r>
    </w:p>
    <w:p w14:paraId="3764608C" w14:textId="00B5043B" w:rsidR="00F7306A" w:rsidRPr="00F7306A" w:rsidRDefault="00F7306A" w:rsidP="002F247D">
      <w:pPr>
        <w:numPr>
          <w:ilvl w:val="0"/>
          <w:numId w:val="19"/>
        </w:numPr>
        <w:tabs>
          <w:tab w:val="left" w:pos="426"/>
          <w:tab w:val="left" w:pos="993"/>
        </w:tabs>
        <w:spacing w:after="0" w:line="360" w:lineRule="auto"/>
        <w:ind w:left="567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7306A">
        <w:rPr>
          <w:rFonts w:ascii="Arial" w:hAnsi="Arial" w:cs="Arial"/>
          <w:bCs/>
          <w:sz w:val="20"/>
          <w:szCs w:val="20"/>
        </w:rPr>
        <w:t>poświadczoną za zgodność z oryginałem odpowiednio przez wykonawcę lub podwykonawcę</w:t>
      </w:r>
      <w:r w:rsidRPr="00F7306A">
        <w:rPr>
          <w:rFonts w:ascii="Arial" w:hAnsi="Arial" w:cs="Arial"/>
          <w:b/>
          <w:bCs/>
          <w:sz w:val="20"/>
          <w:szCs w:val="20"/>
        </w:rPr>
        <w:t xml:space="preserve"> kopię dowodu potwierdzającego zgłoszenie pracownika przez pracodawcę do ubezpieczeń</w:t>
      </w:r>
      <w:r w:rsidRPr="00F7306A">
        <w:rPr>
          <w:rFonts w:ascii="Arial" w:hAnsi="Arial" w:cs="Arial"/>
          <w:bCs/>
          <w:sz w:val="20"/>
          <w:szCs w:val="20"/>
        </w:rPr>
        <w:t>, zanonimizowaną w sposób zapewniający ochronę danych osobowych pracowników, zgodnie z przepisami ustawy o ochronie danych osobowych, z zastrzeżeniem z ust. 1</w:t>
      </w:r>
      <w:r w:rsidR="00E57C83">
        <w:rPr>
          <w:rFonts w:ascii="Arial" w:hAnsi="Arial" w:cs="Arial"/>
          <w:bCs/>
          <w:sz w:val="20"/>
          <w:szCs w:val="20"/>
        </w:rPr>
        <w:t>0</w:t>
      </w:r>
      <w:r w:rsidRPr="00F7306A">
        <w:rPr>
          <w:rFonts w:ascii="Arial" w:hAnsi="Arial" w:cs="Arial"/>
          <w:bCs/>
          <w:sz w:val="20"/>
          <w:szCs w:val="20"/>
        </w:rPr>
        <w:t xml:space="preserve"> pkt </w:t>
      </w:r>
      <w:r w:rsidR="00E57C83">
        <w:rPr>
          <w:rFonts w:ascii="Arial" w:hAnsi="Arial" w:cs="Arial"/>
          <w:bCs/>
          <w:sz w:val="20"/>
          <w:szCs w:val="20"/>
        </w:rPr>
        <w:t>3</w:t>
      </w:r>
      <w:r w:rsidRPr="00F7306A">
        <w:rPr>
          <w:rFonts w:ascii="Arial" w:hAnsi="Arial" w:cs="Arial"/>
          <w:bCs/>
          <w:sz w:val="20"/>
          <w:szCs w:val="20"/>
        </w:rPr>
        <w:t>, lit. b).</w:t>
      </w:r>
    </w:p>
    <w:p w14:paraId="20D89BD3" w14:textId="77D459BC" w:rsidR="00F7306A" w:rsidRPr="00F7306A" w:rsidRDefault="00F7306A" w:rsidP="002F247D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306A">
        <w:rPr>
          <w:rFonts w:ascii="Arial" w:hAnsi="Arial" w:cs="Arial"/>
          <w:sz w:val="20"/>
          <w:szCs w:val="20"/>
        </w:rPr>
        <w:t>Z tytułu niespełnienia przez Wykonawcę lub podwykonawcę wymogu zatrudnienia na podstawie umowy o pracę osób wykonujących wskazane w ust. 1</w:t>
      </w:r>
      <w:r w:rsidR="00E57C83">
        <w:rPr>
          <w:rFonts w:ascii="Arial" w:hAnsi="Arial" w:cs="Arial"/>
          <w:sz w:val="20"/>
          <w:szCs w:val="20"/>
        </w:rPr>
        <w:t>0</w:t>
      </w:r>
      <w:r w:rsidRPr="00F7306A">
        <w:rPr>
          <w:rFonts w:ascii="Arial" w:hAnsi="Arial" w:cs="Arial"/>
          <w:sz w:val="20"/>
          <w:szCs w:val="20"/>
        </w:rPr>
        <w:t xml:space="preserve"> pkt 1 czynności Zamawiający przewiduje sankcję w postaci obowiązku zapłaty przez Wykonawcę kary umownej w wysokości określonej w istotnych postanowieniach umowy w sprawie zamówienia publicznego. Niezłożenie przez Wykonawcę w wyznaczonym przez Zamawiającego terminie żądanych przez Zamawiającego dowodów w celu potwierdzenia spełnienia przez Wykonawcę lub podwykonawcę wymogu zatrudnienia na podstawie umowy o pracę traktowane będzie jako niespełnienie przez </w:t>
      </w:r>
      <w:r w:rsidRPr="00F7306A">
        <w:rPr>
          <w:rFonts w:ascii="Arial" w:hAnsi="Arial" w:cs="Arial"/>
          <w:sz w:val="20"/>
          <w:szCs w:val="20"/>
        </w:rPr>
        <w:lastRenderedPageBreak/>
        <w:t>Wykonawcę lub podwykonawcę wymogu zatrudnienia na podstawie umowy o pracę osób wykonujących wskazane w ust. 1</w:t>
      </w:r>
      <w:r w:rsidR="00E57C83">
        <w:rPr>
          <w:rFonts w:ascii="Arial" w:hAnsi="Arial" w:cs="Arial"/>
          <w:sz w:val="20"/>
          <w:szCs w:val="20"/>
        </w:rPr>
        <w:t>0</w:t>
      </w:r>
      <w:r w:rsidRPr="00F7306A">
        <w:rPr>
          <w:rFonts w:ascii="Arial" w:hAnsi="Arial" w:cs="Arial"/>
          <w:sz w:val="20"/>
          <w:szCs w:val="20"/>
        </w:rPr>
        <w:t xml:space="preserve"> pkt 1 czynności. </w:t>
      </w:r>
    </w:p>
    <w:p w14:paraId="30DEB3A3" w14:textId="77777777" w:rsidR="00F7306A" w:rsidRPr="008A1529" w:rsidRDefault="00F7306A" w:rsidP="008A1529">
      <w:pPr>
        <w:pStyle w:val="Akapitzlist"/>
        <w:numPr>
          <w:ilvl w:val="0"/>
          <w:numId w:val="21"/>
        </w:numPr>
        <w:spacing w:before="120"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306A">
        <w:rPr>
          <w:rFonts w:ascii="Arial" w:hAnsi="Arial" w:cs="Arial"/>
          <w:sz w:val="20"/>
          <w:szCs w:val="20"/>
          <w:lang w:eastAsia="pl-P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6A9E40B7" w14:textId="77777777" w:rsidR="006D3F2C" w:rsidRPr="00F7306A" w:rsidRDefault="006D3F2C" w:rsidP="009B2E36">
      <w:pPr>
        <w:pStyle w:val="Akapitzlist"/>
        <w:spacing w:line="360" w:lineRule="auto"/>
        <w:ind w:left="284" w:hanging="284"/>
        <w:rPr>
          <w:rFonts w:ascii="Arial" w:hAnsi="Arial" w:cs="Arial"/>
          <w:sz w:val="20"/>
          <w:szCs w:val="20"/>
        </w:rPr>
      </w:pPr>
    </w:p>
    <w:sectPr w:rsidR="006D3F2C" w:rsidRPr="00F7306A" w:rsidSect="00295134">
      <w:headerReference w:type="default" r:id="rId7"/>
      <w:footerReference w:type="default" r:id="rId8"/>
      <w:pgSz w:w="11906" w:h="16838"/>
      <w:pgMar w:top="1702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5FA9F" w14:textId="77777777" w:rsidR="0083176B" w:rsidRDefault="00533935">
      <w:pPr>
        <w:spacing w:after="0" w:line="240" w:lineRule="auto"/>
      </w:pPr>
      <w:r>
        <w:separator/>
      </w:r>
    </w:p>
  </w:endnote>
  <w:endnote w:type="continuationSeparator" w:id="0">
    <w:p w14:paraId="071CAA3F" w14:textId="77777777" w:rsidR="0083176B" w:rsidRDefault="0053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624737442"/>
      <w:docPartObj>
        <w:docPartGallery w:val="Page Numbers (Top of Page)"/>
        <w:docPartUnique/>
      </w:docPartObj>
    </w:sdtPr>
    <w:sdtEndPr/>
    <w:sdtContent>
      <w:p w14:paraId="30277647" w14:textId="77777777" w:rsidR="006D3F2C" w:rsidRPr="00D17036" w:rsidRDefault="00533935" w:rsidP="00D17036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17036">
          <w:rPr>
            <w:rFonts w:ascii="Arial" w:hAnsi="Arial" w:cs="Arial"/>
            <w:sz w:val="20"/>
            <w:szCs w:val="20"/>
          </w:rPr>
          <w:t xml:space="preserve">Strona </w:t>
        </w:r>
        <w:r w:rsidRPr="00D17036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D17036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D17036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7D6E67">
          <w:rPr>
            <w:rFonts w:ascii="Arial" w:hAnsi="Arial" w:cs="Arial"/>
            <w:b/>
            <w:bCs/>
            <w:noProof/>
            <w:sz w:val="20"/>
            <w:szCs w:val="20"/>
          </w:rPr>
          <w:t>4</w:t>
        </w:r>
        <w:r w:rsidRPr="00D17036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D17036">
          <w:rPr>
            <w:rFonts w:ascii="Arial" w:hAnsi="Arial" w:cs="Arial"/>
            <w:sz w:val="20"/>
            <w:szCs w:val="20"/>
          </w:rPr>
          <w:t xml:space="preserve"> z </w:t>
        </w:r>
        <w:r w:rsidRPr="00D17036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D17036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D17036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7D6E67">
          <w:rPr>
            <w:rFonts w:ascii="Arial" w:hAnsi="Arial" w:cs="Arial"/>
            <w:b/>
            <w:bCs/>
            <w:noProof/>
            <w:sz w:val="20"/>
            <w:szCs w:val="20"/>
          </w:rPr>
          <w:t>4</w:t>
        </w:r>
        <w:r w:rsidRPr="00D17036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14:paraId="74F14AC5" w14:textId="77777777" w:rsidR="006D3F2C" w:rsidRDefault="006D3F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597C7" w14:textId="77777777" w:rsidR="0083176B" w:rsidRDefault="00533935">
      <w:pPr>
        <w:spacing w:after="0" w:line="240" w:lineRule="auto"/>
      </w:pPr>
      <w:r>
        <w:separator/>
      </w:r>
    </w:p>
  </w:footnote>
  <w:footnote w:type="continuationSeparator" w:id="0">
    <w:p w14:paraId="4AB9EDC8" w14:textId="77777777" w:rsidR="0083176B" w:rsidRDefault="00533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894E3" w14:textId="77777777" w:rsidR="006D3F2C" w:rsidRDefault="006D3F2C">
    <w:pPr>
      <w:pStyle w:val="Nagwek"/>
      <w:jc w:val="center"/>
    </w:pPr>
  </w:p>
  <w:p w14:paraId="7444B57C" w14:textId="53146A5C" w:rsidR="00D17036" w:rsidRPr="00295134" w:rsidRDefault="00D17036" w:rsidP="00295134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="00295134">
      <w:rPr>
        <w:rFonts w:ascii="Arial" w:hAnsi="Arial"/>
        <w:sz w:val="16"/>
        <w:szCs w:val="16"/>
      </w:rPr>
      <w:t>W</w:t>
    </w:r>
    <w:r w:rsidR="007D6E67">
      <w:rPr>
        <w:rFonts w:ascii="Arial" w:hAnsi="Arial"/>
        <w:sz w:val="16"/>
        <w:szCs w:val="16"/>
      </w:rPr>
      <w:t>FE</w:t>
    </w:r>
    <w:r w:rsidR="00295134">
      <w:rPr>
        <w:rFonts w:ascii="Arial" w:hAnsi="Arial"/>
        <w:sz w:val="16"/>
        <w:szCs w:val="16"/>
      </w:rPr>
      <w:t>.271.</w:t>
    </w:r>
    <w:r w:rsidR="00B02B14">
      <w:rPr>
        <w:rFonts w:ascii="Arial" w:hAnsi="Arial"/>
        <w:sz w:val="16"/>
        <w:szCs w:val="16"/>
      </w:rPr>
      <w:t>4</w:t>
    </w:r>
    <w:r w:rsidR="00FB2125">
      <w:rPr>
        <w:rFonts w:ascii="Arial" w:hAnsi="Arial"/>
        <w:sz w:val="16"/>
        <w:szCs w:val="16"/>
      </w:rPr>
      <w:t>.</w:t>
    </w:r>
    <w:r w:rsidR="00295134">
      <w:rPr>
        <w:rFonts w:ascii="Arial" w:hAnsi="Arial"/>
        <w:sz w:val="16"/>
        <w:szCs w:val="16"/>
      </w:rPr>
      <w:t>202</w:t>
    </w:r>
    <w:r w:rsidR="00B02B14">
      <w:rPr>
        <w:rFonts w:ascii="Arial" w:hAnsi="Arial"/>
        <w:sz w:val="16"/>
        <w:szCs w:val="16"/>
      </w:rPr>
      <w:t>4</w:t>
    </w:r>
    <w:r w:rsidR="00295134">
      <w:rPr>
        <w:rFonts w:ascii="Arial" w:hAnsi="Arial"/>
        <w:sz w:val="16"/>
        <w:szCs w:val="16"/>
      </w:rPr>
      <w:t>.WGS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AF7"/>
    <w:multiLevelType w:val="hybridMultilevel"/>
    <w:tmpl w:val="72F20C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0AE3A85"/>
    <w:multiLevelType w:val="multilevel"/>
    <w:tmpl w:val="35289AAA"/>
    <w:lvl w:ilvl="0">
      <w:start w:val="9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41973E3"/>
    <w:multiLevelType w:val="multilevel"/>
    <w:tmpl w:val="8AF8B380"/>
    <w:lvl w:ilvl="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7166A"/>
    <w:multiLevelType w:val="multilevel"/>
    <w:tmpl w:val="B510B1BC"/>
    <w:lvl w:ilvl="0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 w15:restartNumberingAfterBreak="0">
    <w:nsid w:val="0A2E338F"/>
    <w:multiLevelType w:val="hybridMultilevel"/>
    <w:tmpl w:val="A98CCB72"/>
    <w:lvl w:ilvl="0" w:tplc="5FD623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D07C0"/>
    <w:multiLevelType w:val="multilevel"/>
    <w:tmpl w:val="0302A934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/>
        <w:b/>
        <w:bCs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524FDC"/>
    <w:multiLevelType w:val="multilevel"/>
    <w:tmpl w:val="D952D46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F53988"/>
    <w:multiLevelType w:val="multilevel"/>
    <w:tmpl w:val="C35662A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D54673"/>
    <w:multiLevelType w:val="multilevel"/>
    <w:tmpl w:val="D8ACFA36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72659"/>
    <w:multiLevelType w:val="multilevel"/>
    <w:tmpl w:val="B2CE319E"/>
    <w:lvl w:ilvl="0">
      <w:start w:val="1"/>
      <w:numFmt w:val="lowerLetter"/>
      <w:lvlText w:val="%1)"/>
      <w:lvlJc w:val="left"/>
      <w:pPr>
        <w:ind w:left="720" w:hanging="360"/>
      </w:pPr>
      <w:rPr>
        <w:rFonts w:hint="eastAsia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C797B87"/>
    <w:multiLevelType w:val="hybridMultilevel"/>
    <w:tmpl w:val="8EEED416"/>
    <w:lvl w:ilvl="0" w:tplc="D5E442A4">
      <w:start w:val="1"/>
      <w:numFmt w:val="decimal"/>
      <w:pStyle w:val="Styl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F49E2"/>
    <w:multiLevelType w:val="multilevel"/>
    <w:tmpl w:val="3350FC9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E46AEA"/>
    <w:multiLevelType w:val="multilevel"/>
    <w:tmpl w:val="EDAEB83A"/>
    <w:lvl w:ilvl="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3" w15:restartNumberingAfterBreak="0">
    <w:nsid w:val="34C23327"/>
    <w:multiLevelType w:val="multilevel"/>
    <w:tmpl w:val="4426EE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76E2FCC"/>
    <w:multiLevelType w:val="hybridMultilevel"/>
    <w:tmpl w:val="4192CF86"/>
    <w:lvl w:ilvl="0" w:tplc="F912BB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14CE4"/>
    <w:multiLevelType w:val="multilevel"/>
    <w:tmpl w:val="2B524004"/>
    <w:lvl w:ilvl="0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F9A257E"/>
    <w:multiLevelType w:val="hybridMultilevel"/>
    <w:tmpl w:val="3C0A950E"/>
    <w:lvl w:ilvl="0" w:tplc="6DB884F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47011"/>
    <w:multiLevelType w:val="multilevel"/>
    <w:tmpl w:val="17F0BBC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1AF2750"/>
    <w:multiLevelType w:val="multilevel"/>
    <w:tmpl w:val="05725B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B7080"/>
    <w:multiLevelType w:val="multilevel"/>
    <w:tmpl w:val="7CF2E420"/>
    <w:lvl w:ilvl="0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52F5A3C"/>
    <w:multiLevelType w:val="multilevel"/>
    <w:tmpl w:val="0694AAF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5D4171"/>
    <w:multiLevelType w:val="multilevel"/>
    <w:tmpl w:val="899CB4C0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E579D"/>
    <w:multiLevelType w:val="hybridMultilevel"/>
    <w:tmpl w:val="1F94C06E"/>
    <w:lvl w:ilvl="0" w:tplc="C898F7D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D270A"/>
    <w:multiLevelType w:val="hybridMultilevel"/>
    <w:tmpl w:val="E7683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20144"/>
    <w:multiLevelType w:val="multilevel"/>
    <w:tmpl w:val="2BBC3C02"/>
    <w:lvl w:ilvl="0">
      <w:start w:val="1"/>
      <w:numFmt w:val="lowerLetter"/>
      <w:lvlText w:val="%1)"/>
      <w:lvlJc w:val="left"/>
      <w:pPr>
        <w:ind w:left="21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8DB692A"/>
    <w:multiLevelType w:val="multilevel"/>
    <w:tmpl w:val="0B528318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8FD7E9D"/>
    <w:multiLevelType w:val="hybridMultilevel"/>
    <w:tmpl w:val="1B68DA3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553F1"/>
    <w:multiLevelType w:val="multilevel"/>
    <w:tmpl w:val="3604B5FC"/>
    <w:lvl w:ilvl="0">
      <w:start w:val="10"/>
      <w:numFmt w:val="decimal"/>
      <w:lvlText w:val="%1."/>
      <w:lvlJc w:val="left"/>
      <w:pPr>
        <w:ind w:left="1800" w:hanging="360"/>
      </w:pPr>
      <w:rPr>
        <w:rFonts w:ascii="Times New Roman" w:hAnsi="Times New Roman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AF47155"/>
    <w:multiLevelType w:val="multilevel"/>
    <w:tmpl w:val="5886819A"/>
    <w:lvl w:ilvl="0">
      <w:start w:val="1"/>
      <w:numFmt w:val="lowerLetter"/>
      <w:lvlText w:val="%1)"/>
      <w:lvlJc w:val="left"/>
      <w:pPr>
        <w:ind w:left="720" w:hanging="360"/>
      </w:pPr>
      <w:rPr>
        <w:rFonts w:hint="eastAsia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267882033">
    <w:abstractNumId w:val="18"/>
  </w:num>
  <w:num w:numId="2" w16cid:durableId="583953403">
    <w:abstractNumId w:val="5"/>
  </w:num>
  <w:num w:numId="3" w16cid:durableId="1970435066">
    <w:abstractNumId w:val="24"/>
  </w:num>
  <w:num w:numId="4" w16cid:durableId="1916357185">
    <w:abstractNumId w:val="7"/>
  </w:num>
  <w:num w:numId="5" w16cid:durableId="169225806">
    <w:abstractNumId w:val="2"/>
  </w:num>
  <w:num w:numId="6" w16cid:durableId="355157">
    <w:abstractNumId w:val="21"/>
  </w:num>
  <w:num w:numId="7" w16cid:durableId="531500237">
    <w:abstractNumId w:val="27"/>
  </w:num>
  <w:num w:numId="8" w16cid:durableId="340398897">
    <w:abstractNumId w:val="1"/>
  </w:num>
  <w:num w:numId="9" w16cid:durableId="1876769912">
    <w:abstractNumId w:val="11"/>
  </w:num>
  <w:num w:numId="10" w16cid:durableId="1871793818">
    <w:abstractNumId w:val="6"/>
  </w:num>
  <w:num w:numId="11" w16cid:durableId="429619333">
    <w:abstractNumId w:val="8"/>
  </w:num>
  <w:num w:numId="12" w16cid:durableId="1957524108">
    <w:abstractNumId w:val="20"/>
  </w:num>
  <w:num w:numId="13" w16cid:durableId="1733579311">
    <w:abstractNumId w:val="13"/>
  </w:num>
  <w:num w:numId="14" w16cid:durableId="1080568113">
    <w:abstractNumId w:val="10"/>
  </w:num>
  <w:num w:numId="15" w16cid:durableId="1310405895">
    <w:abstractNumId w:val="4"/>
  </w:num>
  <w:num w:numId="16" w16cid:durableId="1028524530">
    <w:abstractNumId w:val="17"/>
  </w:num>
  <w:num w:numId="17" w16cid:durableId="659652075">
    <w:abstractNumId w:val="23"/>
  </w:num>
  <w:num w:numId="18" w16cid:durableId="669062747">
    <w:abstractNumId w:val="12"/>
  </w:num>
  <w:num w:numId="19" w16cid:durableId="1671180923">
    <w:abstractNumId w:val="3"/>
  </w:num>
  <w:num w:numId="20" w16cid:durableId="1621181976">
    <w:abstractNumId w:val="14"/>
  </w:num>
  <w:num w:numId="21" w16cid:durableId="1498839474">
    <w:abstractNumId w:val="22"/>
  </w:num>
  <w:num w:numId="22" w16cid:durableId="1210528152">
    <w:abstractNumId w:val="16"/>
  </w:num>
  <w:num w:numId="23" w16cid:durableId="680931220">
    <w:abstractNumId w:val="0"/>
  </w:num>
  <w:num w:numId="24" w16cid:durableId="654645237">
    <w:abstractNumId w:val="26"/>
  </w:num>
  <w:num w:numId="25" w16cid:durableId="1457069145">
    <w:abstractNumId w:val="15"/>
  </w:num>
  <w:num w:numId="26" w16cid:durableId="1406610782">
    <w:abstractNumId w:val="19"/>
  </w:num>
  <w:num w:numId="27" w16cid:durableId="1503396980">
    <w:abstractNumId w:val="9"/>
  </w:num>
  <w:num w:numId="28" w16cid:durableId="871645902">
    <w:abstractNumId w:val="28"/>
  </w:num>
  <w:num w:numId="29" w16cid:durableId="12148061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F2C"/>
    <w:rsid w:val="002755C7"/>
    <w:rsid w:val="00295134"/>
    <w:rsid w:val="002F247D"/>
    <w:rsid w:val="004848C2"/>
    <w:rsid w:val="00533935"/>
    <w:rsid w:val="006D3F2C"/>
    <w:rsid w:val="007D6E67"/>
    <w:rsid w:val="007E17E8"/>
    <w:rsid w:val="0083176B"/>
    <w:rsid w:val="008A1529"/>
    <w:rsid w:val="009B2E36"/>
    <w:rsid w:val="00B02B14"/>
    <w:rsid w:val="00BE502D"/>
    <w:rsid w:val="00C51BCB"/>
    <w:rsid w:val="00C92ABB"/>
    <w:rsid w:val="00CD0F8C"/>
    <w:rsid w:val="00D17036"/>
    <w:rsid w:val="00E57C83"/>
    <w:rsid w:val="00E651B3"/>
    <w:rsid w:val="00F21652"/>
    <w:rsid w:val="00F7306A"/>
    <w:rsid w:val="00FB2125"/>
    <w:rsid w:val="00FB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676BD2"/>
  <w15:docId w15:val="{FD19C491-331A-4C78-A117-0545536A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424F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424F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424F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424F2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046F"/>
  </w:style>
  <w:style w:type="character" w:customStyle="1" w:styleId="StopkaZnak">
    <w:name w:val="Stopka Znak"/>
    <w:basedOn w:val="Domylnaczcionkaakapitu"/>
    <w:link w:val="Stopka"/>
    <w:uiPriority w:val="99"/>
    <w:qFormat/>
    <w:rsid w:val="00F4046F"/>
  </w:style>
  <w:style w:type="character" w:customStyle="1" w:styleId="ListLabel1">
    <w:name w:val="ListLabel 1"/>
    <w:qFormat/>
    <w:rPr>
      <w:rFonts w:ascii="Times New Roman" w:hAnsi="Times New Roman"/>
      <w:b/>
      <w:bCs/>
      <w:sz w:val="24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Times New Roman" w:hAnsi="Times New Roman"/>
      <w:b/>
      <w:bCs/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Times New Roman" w:hAnsi="Times New Roman"/>
      <w:b/>
      <w:bCs/>
      <w:sz w:val="24"/>
    </w:rPr>
  </w:style>
  <w:style w:type="character" w:customStyle="1" w:styleId="ListLabel26">
    <w:name w:val="ListLabel 26"/>
    <w:qFormat/>
    <w:rPr>
      <w:rFonts w:ascii="Times New Roman" w:hAnsi="Times New Roman"/>
      <w:b/>
      <w:bCs w:val="0"/>
      <w:sz w:val="24"/>
    </w:rPr>
  </w:style>
  <w:style w:type="character" w:customStyle="1" w:styleId="ListLabel27">
    <w:name w:val="ListLabel 27"/>
    <w:qFormat/>
    <w:rPr>
      <w:rFonts w:ascii="Times New Roman" w:hAnsi="Times New Roman"/>
      <w:b/>
      <w:bCs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046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0501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424F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424F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424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4046F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405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D17036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17036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17036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PodtytuZnak1">
    <w:name w:val="Podtytuł Znak1"/>
    <w:basedOn w:val="Domylnaczcionkaakapitu"/>
    <w:uiPriority w:val="11"/>
    <w:rsid w:val="00D17036"/>
    <w:rPr>
      <w:rFonts w:eastAsiaTheme="minorEastAsia"/>
      <w:color w:val="5A5A5A" w:themeColor="text1" w:themeTint="A5"/>
      <w:spacing w:val="15"/>
    </w:rPr>
  </w:style>
  <w:style w:type="paragraph" w:customStyle="1" w:styleId="Styl1">
    <w:name w:val="Styl1"/>
    <w:basedOn w:val="Normalny"/>
    <w:link w:val="Styl1Znak"/>
    <w:autoRedefine/>
    <w:qFormat/>
    <w:rsid w:val="00D17036"/>
    <w:pPr>
      <w:numPr>
        <w:numId w:val="14"/>
      </w:numPr>
      <w:pBdr>
        <w:bottom w:val="single" w:sz="4" w:space="1" w:color="auto"/>
      </w:pBdr>
      <w:shd w:val="clear" w:color="auto" w:fill="D9D9D9" w:themeFill="background1" w:themeFillShade="D9"/>
      <w:spacing w:after="0"/>
    </w:pPr>
    <w:rPr>
      <w:rFonts w:ascii="Arial" w:hAnsi="Arial" w:cs="Arial"/>
      <w:b/>
      <w:sz w:val="20"/>
      <w:szCs w:val="20"/>
    </w:rPr>
  </w:style>
  <w:style w:type="paragraph" w:customStyle="1" w:styleId="Styl2">
    <w:name w:val="Styl2"/>
    <w:basedOn w:val="Styl1"/>
    <w:link w:val="Styl2Znak"/>
    <w:qFormat/>
    <w:rsid w:val="00D17036"/>
    <w:pPr>
      <w:pBdr>
        <w:bottom w:val="double" w:sz="4" w:space="1" w:color="auto"/>
      </w:pBdr>
    </w:pPr>
  </w:style>
  <w:style w:type="character" w:customStyle="1" w:styleId="Styl1Znak">
    <w:name w:val="Styl1 Znak"/>
    <w:basedOn w:val="Domylnaczcionkaakapitu"/>
    <w:link w:val="Styl1"/>
    <w:rsid w:val="00D17036"/>
    <w:rPr>
      <w:rFonts w:ascii="Arial" w:hAnsi="Arial" w:cs="Arial"/>
      <w:b/>
      <w:sz w:val="20"/>
      <w:szCs w:val="20"/>
      <w:shd w:val="clear" w:color="auto" w:fill="D9D9D9" w:themeFill="background1" w:themeFillShade="D9"/>
    </w:rPr>
  </w:style>
  <w:style w:type="paragraph" w:customStyle="1" w:styleId="Default">
    <w:name w:val="Default"/>
    <w:qFormat/>
    <w:rsid w:val="00F7306A"/>
    <w:pPr>
      <w:suppressAutoHyphens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Styl2Znak">
    <w:name w:val="Styl2 Znak"/>
    <w:basedOn w:val="Styl1Znak"/>
    <w:link w:val="Styl2"/>
    <w:rsid w:val="00D17036"/>
    <w:rPr>
      <w:rFonts w:ascii="Arial" w:hAnsi="Arial" w:cs="Arial"/>
      <w:b/>
      <w:sz w:val="20"/>
      <w:szCs w:val="20"/>
      <w:shd w:val="clear" w:color="auto" w:fill="D9D9D9" w:themeFill="background1" w:themeFillShade="D9"/>
    </w:rPr>
  </w:style>
  <w:style w:type="paragraph" w:customStyle="1" w:styleId="Standard">
    <w:name w:val="Standard"/>
    <w:rsid w:val="00295134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1209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dc:description/>
  <cp:lastModifiedBy>Karolina Popielarz</cp:lastModifiedBy>
  <cp:revision>15</cp:revision>
  <cp:lastPrinted>2023-01-31T13:15:00Z</cp:lastPrinted>
  <dcterms:created xsi:type="dcterms:W3CDTF">2021-01-08T07:41:00Z</dcterms:created>
  <dcterms:modified xsi:type="dcterms:W3CDTF">2024-02-28T07:22:00Z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