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22724" w14:textId="3AEF040B" w:rsidR="00FE4774" w:rsidRPr="004B2943" w:rsidRDefault="004B2943" w:rsidP="00682EAB">
      <w:pPr>
        <w:pStyle w:val="Zwykytekst"/>
        <w:tabs>
          <w:tab w:val="left" w:leader="dot" w:pos="9072"/>
        </w:tabs>
        <w:spacing w:line="276" w:lineRule="auto"/>
        <w:jc w:val="both"/>
        <w:rPr>
          <w:rFonts w:asciiTheme="minorHAnsi" w:hAnsiTheme="minorHAnsi" w:cstheme="minorHAnsi"/>
          <w:bCs/>
          <w:sz w:val="22"/>
          <w:szCs w:val="22"/>
          <w:lang w:val="pl-PL"/>
        </w:rPr>
      </w:pPr>
      <w:r>
        <w:rPr>
          <w:rFonts w:asciiTheme="minorHAnsi" w:hAnsiTheme="minorHAnsi" w:cstheme="minorHAnsi"/>
          <w:b/>
          <w:sz w:val="22"/>
          <w:szCs w:val="22"/>
          <w:lang w:val="pl-PL"/>
        </w:rPr>
        <w:t xml:space="preserve">                                                                                                                                       </w:t>
      </w:r>
      <w:r w:rsidRPr="004B2943">
        <w:rPr>
          <w:rFonts w:asciiTheme="minorHAnsi" w:hAnsiTheme="minorHAnsi" w:cstheme="minorHAnsi"/>
          <w:bCs/>
          <w:sz w:val="22"/>
          <w:szCs w:val="22"/>
          <w:lang w:val="pl-PL"/>
        </w:rPr>
        <w:t xml:space="preserve">Kraków, </w:t>
      </w:r>
      <w:r w:rsidR="00FB2628">
        <w:rPr>
          <w:rFonts w:asciiTheme="minorHAnsi" w:hAnsiTheme="minorHAnsi" w:cstheme="minorHAnsi"/>
          <w:bCs/>
          <w:sz w:val="22"/>
          <w:szCs w:val="22"/>
          <w:lang w:val="pl-PL"/>
        </w:rPr>
        <w:t>9.1</w:t>
      </w:r>
      <w:r w:rsidR="006B3B41">
        <w:rPr>
          <w:rFonts w:asciiTheme="minorHAnsi" w:hAnsiTheme="minorHAnsi" w:cstheme="minorHAnsi"/>
          <w:bCs/>
          <w:sz w:val="22"/>
          <w:szCs w:val="22"/>
          <w:lang w:val="pl-PL"/>
        </w:rPr>
        <w:t>0</w:t>
      </w:r>
      <w:r w:rsidRPr="004B2943">
        <w:rPr>
          <w:rFonts w:asciiTheme="minorHAnsi" w:hAnsiTheme="minorHAnsi" w:cstheme="minorHAnsi"/>
          <w:bCs/>
          <w:sz w:val="22"/>
          <w:szCs w:val="22"/>
          <w:lang w:val="pl-PL"/>
        </w:rPr>
        <w:t xml:space="preserve">.2023 r. </w:t>
      </w:r>
    </w:p>
    <w:p w14:paraId="3A9D6ACA" w14:textId="77777777" w:rsidR="009A38B4" w:rsidRDefault="009A38B4" w:rsidP="00682EAB">
      <w:pPr>
        <w:pStyle w:val="Zwykytekst"/>
        <w:tabs>
          <w:tab w:val="left" w:leader="dot" w:pos="9072"/>
        </w:tabs>
        <w:spacing w:line="276" w:lineRule="auto"/>
        <w:jc w:val="both"/>
        <w:rPr>
          <w:rFonts w:asciiTheme="minorHAnsi" w:hAnsiTheme="minorHAnsi" w:cstheme="minorHAnsi"/>
          <w:bCs/>
          <w:sz w:val="22"/>
          <w:szCs w:val="22"/>
        </w:rPr>
      </w:pPr>
    </w:p>
    <w:p w14:paraId="1167A847" w14:textId="77777777" w:rsidR="00B16AA8" w:rsidRDefault="00B16AA8" w:rsidP="00682EAB">
      <w:pPr>
        <w:pStyle w:val="Zwykytekst"/>
        <w:tabs>
          <w:tab w:val="left" w:leader="dot" w:pos="9072"/>
        </w:tabs>
        <w:spacing w:line="276" w:lineRule="auto"/>
        <w:jc w:val="both"/>
        <w:rPr>
          <w:rFonts w:asciiTheme="minorHAnsi" w:hAnsiTheme="minorHAnsi" w:cstheme="minorHAnsi"/>
          <w:bCs/>
          <w:sz w:val="22"/>
          <w:szCs w:val="22"/>
          <w:lang w:val="pl-PL"/>
        </w:rPr>
      </w:pPr>
    </w:p>
    <w:p w14:paraId="52228397" w14:textId="77777777" w:rsidR="00F23819" w:rsidRPr="006B3B41" w:rsidRDefault="004B2943" w:rsidP="00F23819">
      <w:pPr>
        <w:spacing w:before="60" w:after="40"/>
        <w:jc w:val="both"/>
        <w:rPr>
          <w:rFonts w:ascii="Calibri" w:hAnsi="Calibri" w:cs="Calibri"/>
          <w:bCs/>
          <w:sz w:val="24"/>
          <w:szCs w:val="24"/>
          <w:lang w:val="x-none" w:eastAsia="pl-PL"/>
        </w:rPr>
      </w:pPr>
      <w:r w:rsidRPr="006B3B41">
        <w:rPr>
          <w:rFonts w:cstheme="minorHAnsi"/>
          <w:bCs/>
          <w:sz w:val="24"/>
          <w:szCs w:val="24"/>
        </w:rPr>
        <w:t xml:space="preserve">Dot. </w:t>
      </w:r>
      <w:r w:rsidR="00B16AA8" w:rsidRPr="006B3B41">
        <w:rPr>
          <w:rFonts w:cstheme="minorHAnsi"/>
          <w:bCs/>
          <w:sz w:val="24"/>
          <w:szCs w:val="24"/>
        </w:rPr>
        <w:t xml:space="preserve"> postępowania o udzielenie zamówienia publicznego prowadzonego w trybie podstawowym bez negocjacji pn. </w:t>
      </w:r>
      <w:r w:rsidR="00F23819" w:rsidRPr="006B3B41">
        <w:rPr>
          <w:rFonts w:ascii="Calibri" w:hAnsi="Calibri" w:cs="Calibri"/>
          <w:b/>
          <w:sz w:val="24"/>
          <w:szCs w:val="24"/>
        </w:rPr>
        <w:t xml:space="preserve">Dostawa i montaż systemu gaszenia pożarów w serwerowni przy ul. Rzeźniczej 11 w Krakowie </w:t>
      </w:r>
      <w:r w:rsidR="00F23819" w:rsidRPr="006B3B41">
        <w:rPr>
          <w:rFonts w:ascii="Calibri" w:hAnsi="Calibri" w:cs="Calibri"/>
          <w:b/>
          <w:bCs/>
          <w:sz w:val="24"/>
          <w:szCs w:val="24"/>
          <w:lang w:eastAsia="pl-PL"/>
        </w:rPr>
        <w:t xml:space="preserve"> </w:t>
      </w:r>
      <w:r w:rsidR="00F23819" w:rsidRPr="006B3B41">
        <w:rPr>
          <w:rFonts w:ascii="Calibri" w:hAnsi="Calibri" w:cs="Calibri"/>
          <w:bCs/>
          <w:sz w:val="24"/>
          <w:szCs w:val="24"/>
          <w:lang w:val="x-none" w:eastAsia="pl-PL"/>
        </w:rPr>
        <w:t>przez Regionalne Centrum Krwiodawstwa i Krwiolecznictwa w Krakowie, ul. Rzeźnicza 11, 31-540 Kraków</w:t>
      </w:r>
    </w:p>
    <w:p w14:paraId="2700AA54" w14:textId="111F2029" w:rsidR="004B2943" w:rsidRPr="006B3B41" w:rsidRDefault="004B2943" w:rsidP="00682EAB">
      <w:pPr>
        <w:pStyle w:val="Zwykytekst"/>
        <w:tabs>
          <w:tab w:val="left" w:leader="dot" w:pos="9072"/>
        </w:tabs>
        <w:spacing w:line="276" w:lineRule="auto"/>
        <w:jc w:val="both"/>
        <w:rPr>
          <w:rFonts w:asciiTheme="minorHAnsi" w:hAnsiTheme="minorHAnsi" w:cstheme="minorHAnsi"/>
          <w:bCs/>
          <w:sz w:val="24"/>
          <w:szCs w:val="24"/>
          <w:lang w:val="pl-PL"/>
        </w:rPr>
      </w:pPr>
    </w:p>
    <w:p w14:paraId="3F07E6EB" w14:textId="77777777" w:rsidR="00FB2628" w:rsidRPr="006B3B41" w:rsidRDefault="00FB2628" w:rsidP="00FB2628">
      <w:pPr>
        <w:pStyle w:val="Zwykytekst"/>
        <w:tabs>
          <w:tab w:val="left" w:leader="dot" w:pos="9072"/>
        </w:tabs>
        <w:spacing w:line="276" w:lineRule="auto"/>
        <w:jc w:val="center"/>
        <w:rPr>
          <w:rFonts w:ascii="Calibri" w:eastAsiaTheme="minorHAnsi" w:hAnsi="Calibri" w:cs="Calibri"/>
          <w:b/>
          <w:bCs/>
          <w:sz w:val="24"/>
          <w:szCs w:val="24"/>
          <w:lang w:val="pl-PL" w:eastAsia="en-US"/>
        </w:rPr>
      </w:pPr>
      <w:r w:rsidRPr="006B3B41">
        <w:rPr>
          <w:rFonts w:ascii="Calibri" w:eastAsiaTheme="minorHAnsi" w:hAnsi="Calibri" w:cs="Calibri"/>
          <w:b/>
          <w:bCs/>
          <w:sz w:val="24"/>
          <w:szCs w:val="24"/>
          <w:lang w:val="pl-PL" w:eastAsia="en-US"/>
        </w:rPr>
        <w:t>INFORMACJA Z WYBORU NAJKORZYSTNIEJSZEJ OFERTY</w:t>
      </w:r>
    </w:p>
    <w:p w14:paraId="2ADA9554" w14:textId="77777777" w:rsidR="00FB2628" w:rsidRPr="006B3B41" w:rsidRDefault="00FB2628" w:rsidP="00FB2628">
      <w:pPr>
        <w:pStyle w:val="Zwykytekst"/>
        <w:tabs>
          <w:tab w:val="left" w:leader="dot" w:pos="9072"/>
        </w:tabs>
        <w:spacing w:line="276" w:lineRule="auto"/>
        <w:jc w:val="center"/>
        <w:rPr>
          <w:rFonts w:ascii="Calibri" w:eastAsiaTheme="minorHAnsi" w:hAnsi="Calibri" w:cs="Calibri"/>
          <w:b/>
          <w:bCs/>
          <w:sz w:val="24"/>
          <w:szCs w:val="24"/>
          <w:lang w:val="pl-PL" w:eastAsia="en-US"/>
        </w:rPr>
      </w:pPr>
    </w:p>
    <w:p w14:paraId="6944F0FD" w14:textId="77777777" w:rsidR="00FB2628" w:rsidRPr="006B3B41" w:rsidRDefault="00FB2628" w:rsidP="00FB2628">
      <w:pPr>
        <w:pStyle w:val="Zwykytekst"/>
        <w:tabs>
          <w:tab w:val="left" w:leader="dot" w:pos="9072"/>
        </w:tabs>
        <w:spacing w:line="276" w:lineRule="auto"/>
        <w:jc w:val="center"/>
        <w:rPr>
          <w:rFonts w:ascii="Calibri" w:eastAsiaTheme="minorHAnsi" w:hAnsi="Calibri" w:cs="Calibri"/>
          <w:b/>
          <w:bCs/>
          <w:sz w:val="24"/>
          <w:szCs w:val="24"/>
          <w:lang w:val="pl-PL" w:eastAsia="en-US"/>
        </w:rPr>
      </w:pPr>
    </w:p>
    <w:p w14:paraId="354A8ED9" w14:textId="4AB4373F" w:rsidR="009A38B4" w:rsidRPr="006B3B41" w:rsidRDefault="00FB2628" w:rsidP="00FB2628">
      <w:pPr>
        <w:pStyle w:val="Zwykytekst"/>
        <w:tabs>
          <w:tab w:val="left" w:leader="dot" w:pos="9072"/>
        </w:tabs>
        <w:spacing w:line="276" w:lineRule="auto"/>
        <w:jc w:val="both"/>
        <w:rPr>
          <w:rFonts w:ascii="Calibri" w:hAnsi="Calibri" w:cs="Calibri"/>
          <w:b/>
          <w:sz w:val="24"/>
          <w:szCs w:val="24"/>
          <w:lang w:val="pl-PL"/>
        </w:rPr>
      </w:pPr>
      <w:r w:rsidRPr="006B3B41">
        <w:rPr>
          <w:rFonts w:ascii="Calibri" w:eastAsiaTheme="minorHAnsi" w:hAnsi="Calibri" w:cs="Calibri"/>
          <w:sz w:val="24"/>
          <w:szCs w:val="24"/>
          <w:lang w:val="pl-PL" w:eastAsia="en-US"/>
        </w:rPr>
        <w:t>Zamawiający, Regionalne Centrum Krwiodawstwa i Krwiolecznictwa w Krakowie na</w:t>
      </w:r>
      <w:r w:rsidRPr="006B3B41">
        <w:rPr>
          <w:rFonts w:ascii="Calibri" w:eastAsiaTheme="minorHAnsi" w:hAnsi="Calibri" w:cs="Calibri"/>
          <w:sz w:val="24"/>
          <w:szCs w:val="24"/>
          <w:lang w:val="pl-PL" w:eastAsia="en-US"/>
        </w:rPr>
        <w:t xml:space="preserve"> </w:t>
      </w:r>
      <w:r w:rsidRPr="006B3B41">
        <w:rPr>
          <w:rFonts w:ascii="Calibri" w:eastAsiaTheme="minorHAnsi" w:hAnsi="Calibri" w:cs="Calibri"/>
          <w:sz w:val="24"/>
          <w:szCs w:val="24"/>
          <w:lang w:val="pl-PL" w:eastAsia="en-US"/>
        </w:rPr>
        <w:t>podstawie art. 253 ust. 1 w zw. z art. 266 ustawy z dnia 11.09.2019 r. Prawo zamówień</w:t>
      </w:r>
      <w:r w:rsidRPr="006B3B41">
        <w:rPr>
          <w:rFonts w:ascii="Calibri" w:eastAsiaTheme="minorHAnsi" w:hAnsi="Calibri" w:cs="Calibri"/>
          <w:sz w:val="24"/>
          <w:szCs w:val="24"/>
          <w:lang w:val="pl-PL" w:eastAsia="en-US"/>
        </w:rPr>
        <w:t xml:space="preserve"> </w:t>
      </w:r>
      <w:r w:rsidRPr="006B3B41">
        <w:rPr>
          <w:rFonts w:ascii="Calibri" w:eastAsiaTheme="minorHAnsi" w:hAnsi="Calibri" w:cs="Calibri"/>
          <w:sz w:val="24"/>
          <w:szCs w:val="24"/>
          <w:lang w:val="pl-PL" w:eastAsia="en-US"/>
        </w:rPr>
        <w:t>publicznych (t.j. Dz. U. z 2022 roku, poz. 1710 z późn. zm.) dalej ustawa pzp informuje, że w</w:t>
      </w:r>
      <w:r w:rsidRPr="006B3B41">
        <w:rPr>
          <w:rFonts w:ascii="Calibri" w:eastAsiaTheme="minorHAnsi" w:hAnsi="Calibri" w:cs="Calibri"/>
          <w:sz w:val="24"/>
          <w:szCs w:val="24"/>
          <w:lang w:val="pl-PL" w:eastAsia="en-US"/>
        </w:rPr>
        <w:t xml:space="preserve"> </w:t>
      </w:r>
      <w:r w:rsidRPr="006B3B41">
        <w:rPr>
          <w:rFonts w:ascii="Calibri" w:eastAsiaTheme="minorHAnsi" w:hAnsi="Calibri" w:cs="Calibri"/>
          <w:sz w:val="24"/>
          <w:szCs w:val="24"/>
          <w:lang w:val="pl-PL" w:eastAsia="en-US"/>
        </w:rPr>
        <w:t>postępowaniu o udzielenie zamówienia publicznego prowadzonego w trybie podstawowym</w:t>
      </w:r>
      <w:r w:rsidRPr="006B3B41">
        <w:rPr>
          <w:rFonts w:ascii="Calibri" w:eastAsiaTheme="minorHAnsi" w:hAnsi="Calibri" w:cs="Calibri"/>
          <w:sz w:val="24"/>
          <w:szCs w:val="24"/>
          <w:lang w:val="pl-PL" w:eastAsia="en-US"/>
        </w:rPr>
        <w:t xml:space="preserve"> </w:t>
      </w:r>
      <w:r w:rsidRPr="006B3B41">
        <w:rPr>
          <w:rFonts w:ascii="Calibri" w:eastAsiaTheme="minorHAnsi" w:hAnsi="Calibri" w:cs="Calibri"/>
          <w:sz w:val="24"/>
          <w:szCs w:val="24"/>
          <w:lang w:val="pl-PL" w:eastAsia="en-US"/>
        </w:rPr>
        <w:t>bez negocjacji pn</w:t>
      </w:r>
      <w:r w:rsidRPr="006B3B41">
        <w:rPr>
          <w:rFonts w:ascii="Calibri" w:eastAsiaTheme="minorHAnsi" w:hAnsi="Calibri" w:cs="Calibri"/>
          <w:sz w:val="24"/>
          <w:szCs w:val="24"/>
          <w:lang w:val="pl-PL" w:eastAsia="en-US"/>
        </w:rPr>
        <w:t xml:space="preserve">. </w:t>
      </w:r>
      <w:r w:rsidRPr="006B3B41">
        <w:rPr>
          <w:rFonts w:ascii="Calibri" w:hAnsi="Calibri" w:cs="Calibri"/>
          <w:b/>
          <w:sz w:val="24"/>
          <w:szCs w:val="24"/>
        </w:rPr>
        <w:t>Dostawa i montaż systemu gaszenia pożarów w serwerowni przy ul. Rzeźniczej 11 w Krakowie</w:t>
      </w:r>
      <w:r w:rsidRPr="006B3B41">
        <w:rPr>
          <w:rFonts w:ascii="Calibri" w:hAnsi="Calibri" w:cs="Calibri"/>
          <w:b/>
          <w:sz w:val="24"/>
          <w:szCs w:val="24"/>
          <w:lang w:val="pl-PL"/>
        </w:rPr>
        <w:t>:</w:t>
      </w:r>
    </w:p>
    <w:p w14:paraId="00154E33" w14:textId="77777777" w:rsidR="00FB2628" w:rsidRDefault="00FB2628" w:rsidP="00FB2628">
      <w:pPr>
        <w:pStyle w:val="Zwykytekst"/>
        <w:tabs>
          <w:tab w:val="left" w:leader="dot" w:pos="9072"/>
        </w:tabs>
        <w:spacing w:line="276" w:lineRule="auto"/>
        <w:jc w:val="both"/>
        <w:rPr>
          <w:rFonts w:ascii="Calibri" w:hAnsi="Calibri" w:cs="Calibri"/>
          <w:b/>
          <w:lang w:val="pl-PL"/>
        </w:rPr>
      </w:pPr>
    </w:p>
    <w:p w14:paraId="75C55788" w14:textId="75748170" w:rsidR="00FB2628" w:rsidRPr="00FB2628" w:rsidRDefault="00FB2628" w:rsidP="00FB2628">
      <w:pPr>
        <w:pStyle w:val="Zwykytekst"/>
        <w:tabs>
          <w:tab w:val="left" w:leader="dot" w:pos="9072"/>
        </w:tabs>
        <w:spacing w:line="276" w:lineRule="auto"/>
        <w:jc w:val="both"/>
        <w:rPr>
          <w:rFonts w:asciiTheme="minorHAnsi" w:hAnsiTheme="minorHAnsi" w:cstheme="minorHAnsi"/>
          <w:bCs/>
          <w:sz w:val="22"/>
          <w:szCs w:val="22"/>
          <w:lang w:val="pl-PL"/>
        </w:rPr>
      </w:pPr>
      <w:r w:rsidRPr="00FB2628">
        <w:rPr>
          <w:rFonts w:asciiTheme="minorHAnsi" w:hAnsiTheme="minorHAnsi" w:cstheme="minorHAnsi"/>
          <w:bCs/>
          <w:sz w:val="22"/>
          <w:szCs w:val="22"/>
          <w:lang w:val="pl-PL"/>
        </w:rPr>
        <w:t>1. złożono oferty i przyznano punktację:</w:t>
      </w:r>
    </w:p>
    <w:p w14:paraId="09FB2769" w14:textId="77777777" w:rsidR="009A38B4" w:rsidRDefault="009A38B4" w:rsidP="00682EAB">
      <w:pPr>
        <w:pStyle w:val="Zwykytekst"/>
        <w:tabs>
          <w:tab w:val="left" w:leader="dot" w:pos="9072"/>
        </w:tabs>
        <w:spacing w:line="276" w:lineRule="auto"/>
        <w:jc w:val="both"/>
        <w:rPr>
          <w:rFonts w:asciiTheme="minorHAnsi" w:hAnsiTheme="minorHAnsi" w:cstheme="minorHAns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3203"/>
        <w:gridCol w:w="2470"/>
        <w:gridCol w:w="2775"/>
      </w:tblGrid>
      <w:tr w:rsidR="0090294C" w14:paraId="258AA79D" w14:textId="77777777" w:rsidTr="0090294C">
        <w:tc>
          <w:tcPr>
            <w:tcW w:w="614" w:type="dxa"/>
            <w:tcBorders>
              <w:tr2bl w:val="single" w:sz="4" w:space="0" w:color="auto"/>
            </w:tcBorders>
            <w:shd w:val="clear" w:color="auto" w:fill="auto"/>
            <w:vAlign w:val="center"/>
          </w:tcPr>
          <w:p w14:paraId="6B45A28A" w14:textId="77777777" w:rsidR="0090294C" w:rsidRDefault="0090294C" w:rsidP="00DB4EEE">
            <w:pPr>
              <w:ind w:right="101"/>
              <w:jc w:val="center"/>
              <w:rPr>
                <w:rFonts w:ascii="Calibri" w:hAnsi="Calibri" w:cs="Calibri"/>
                <w:b/>
                <w:bCs/>
                <w:spacing w:val="-2"/>
                <w:sz w:val="24"/>
                <w:szCs w:val="24"/>
              </w:rPr>
            </w:pPr>
          </w:p>
        </w:tc>
        <w:tc>
          <w:tcPr>
            <w:tcW w:w="3203" w:type="dxa"/>
            <w:shd w:val="clear" w:color="auto" w:fill="auto"/>
            <w:vAlign w:val="center"/>
          </w:tcPr>
          <w:p w14:paraId="697973CD" w14:textId="77777777" w:rsidR="0090294C" w:rsidRDefault="0090294C" w:rsidP="00DB4EEE">
            <w:pPr>
              <w:ind w:right="101"/>
              <w:jc w:val="center"/>
              <w:rPr>
                <w:rFonts w:ascii="Calibri" w:hAnsi="Calibri" w:cs="Calibri"/>
                <w:b/>
                <w:bCs/>
                <w:spacing w:val="-2"/>
                <w:sz w:val="24"/>
                <w:szCs w:val="24"/>
              </w:rPr>
            </w:pPr>
            <w:r>
              <w:rPr>
                <w:rFonts w:ascii="Calibri" w:hAnsi="Calibri" w:cs="Calibri"/>
                <w:b/>
                <w:bCs/>
                <w:spacing w:val="-2"/>
                <w:sz w:val="24"/>
                <w:szCs w:val="24"/>
              </w:rPr>
              <w:t xml:space="preserve">Nazwa Wykonawcy </w:t>
            </w:r>
          </w:p>
        </w:tc>
        <w:tc>
          <w:tcPr>
            <w:tcW w:w="2470" w:type="dxa"/>
            <w:shd w:val="clear" w:color="auto" w:fill="auto"/>
            <w:vAlign w:val="center"/>
          </w:tcPr>
          <w:p w14:paraId="735C806C" w14:textId="77777777" w:rsidR="0090294C" w:rsidRDefault="0090294C" w:rsidP="00DB4EEE">
            <w:pPr>
              <w:ind w:right="101"/>
              <w:jc w:val="center"/>
              <w:rPr>
                <w:rFonts w:ascii="Calibri" w:hAnsi="Calibri" w:cs="Calibri"/>
                <w:b/>
                <w:bCs/>
                <w:spacing w:val="-2"/>
                <w:sz w:val="24"/>
                <w:szCs w:val="24"/>
              </w:rPr>
            </w:pPr>
            <w:r>
              <w:rPr>
                <w:rFonts w:ascii="Calibri" w:hAnsi="Calibri" w:cs="Calibri"/>
                <w:b/>
                <w:bCs/>
                <w:spacing w:val="-2"/>
                <w:sz w:val="24"/>
                <w:szCs w:val="24"/>
              </w:rPr>
              <w:t>cena oferty</w:t>
            </w:r>
          </w:p>
        </w:tc>
        <w:tc>
          <w:tcPr>
            <w:tcW w:w="2775" w:type="dxa"/>
            <w:shd w:val="clear" w:color="auto" w:fill="auto"/>
            <w:vAlign w:val="center"/>
          </w:tcPr>
          <w:p w14:paraId="3EB7A03A" w14:textId="77777777" w:rsidR="0090294C" w:rsidRDefault="0090294C" w:rsidP="00DB4EEE">
            <w:pPr>
              <w:ind w:right="101"/>
              <w:jc w:val="center"/>
              <w:rPr>
                <w:rFonts w:ascii="Calibri" w:hAnsi="Calibri" w:cs="Calibri"/>
                <w:b/>
                <w:bCs/>
                <w:spacing w:val="-2"/>
                <w:sz w:val="24"/>
                <w:szCs w:val="24"/>
              </w:rPr>
            </w:pPr>
            <w:r>
              <w:rPr>
                <w:rFonts w:ascii="Calibri" w:hAnsi="Calibri" w:cs="Calibri"/>
                <w:b/>
                <w:bCs/>
                <w:spacing w:val="-2"/>
                <w:sz w:val="24"/>
                <w:szCs w:val="24"/>
              </w:rPr>
              <w:t>Wydłużenie minimalnego terminu gwarancji</w:t>
            </w:r>
          </w:p>
        </w:tc>
      </w:tr>
      <w:tr w:rsidR="0090294C" w14:paraId="5609CAD4" w14:textId="77777777" w:rsidTr="0090294C">
        <w:tc>
          <w:tcPr>
            <w:tcW w:w="614" w:type="dxa"/>
            <w:shd w:val="clear" w:color="auto" w:fill="auto"/>
          </w:tcPr>
          <w:p w14:paraId="534D0401" w14:textId="77777777" w:rsidR="0090294C" w:rsidRDefault="0090294C" w:rsidP="00DB4EEE">
            <w:pPr>
              <w:ind w:right="101"/>
              <w:rPr>
                <w:rFonts w:ascii="Calibri" w:hAnsi="Calibri" w:cs="Calibri"/>
                <w:b/>
                <w:bCs/>
                <w:spacing w:val="-2"/>
                <w:sz w:val="24"/>
                <w:szCs w:val="24"/>
              </w:rPr>
            </w:pPr>
            <w:r>
              <w:rPr>
                <w:rFonts w:ascii="Calibri" w:hAnsi="Calibri" w:cs="Calibri"/>
                <w:b/>
                <w:bCs/>
                <w:spacing w:val="-2"/>
                <w:sz w:val="24"/>
                <w:szCs w:val="24"/>
              </w:rPr>
              <w:t>1</w:t>
            </w:r>
          </w:p>
        </w:tc>
        <w:tc>
          <w:tcPr>
            <w:tcW w:w="3203" w:type="dxa"/>
            <w:shd w:val="clear" w:color="auto" w:fill="auto"/>
          </w:tcPr>
          <w:p w14:paraId="4C9F8FA0" w14:textId="77777777" w:rsidR="0090294C" w:rsidRDefault="0090294C" w:rsidP="00DB4EEE">
            <w:pPr>
              <w:ind w:right="101"/>
              <w:rPr>
                <w:rFonts w:ascii="Calibri" w:hAnsi="Calibri" w:cs="Calibri"/>
                <w:spacing w:val="-2"/>
                <w:sz w:val="24"/>
                <w:szCs w:val="24"/>
              </w:rPr>
            </w:pPr>
            <w:r>
              <w:rPr>
                <w:rFonts w:ascii="Calibri" w:hAnsi="Calibri" w:cs="Calibri"/>
                <w:b/>
                <w:bCs/>
                <w:sz w:val="24"/>
                <w:szCs w:val="24"/>
              </w:rPr>
              <w:t xml:space="preserve">P. U. Poż-Pliszka Sp. z o.o. </w:t>
            </w:r>
            <w:r>
              <w:rPr>
                <w:rFonts w:ascii="Calibri" w:hAnsi="Calibri" w:cs="Calibri"/>
                <w:b/>
                <w:bCs/>
                <w:sz w:val="24"/>
                <w:szCs w:val="24"/>
              </w:rPr>
              <w:br/>
              <w:t xml:space="preserve">ul. Miałki Szlak 52, </w:t>
            </w:r>
            <w:r>
              <w:rPr>
                <w:rFonts w:ascii="Calibri" w:hAnsi="Calibri" w:cs="Calibri"/>
                <w:b/>
                <w:bCs/>
                <w:sz w:val="24"/>
                <w:szCs w:val="24"/>
              </w:rPr>
              <w:br/>
              <w:t>80-717 Gdańsk</w:t>
            </w:r>
            <w:r>
              <w:rPr>
                <w:rFonts w:ascii="Calibri" w:hAnsi="Calibri" w:cs="Calibri"/>
                <w:sz w:val="24"/>
                <w:szCs w:val="24"/>
              </w:rPr>
              <w:t xml:space="preserve"> </w:t>
            </w:r>
            <w:r>
              <w:rPr>
                <w:rFonts w:ascii="Calibri" w:hAnsi="Calibri" w:cs="Calibri"/>
                <w:sz w:val="24"/>
                <w:szCs w:val="24"/>
              </w:rPr>
              <w:br/>
            </w:r>
            <w:r>
              <w:rPr>
                <w:rFonts w:ascii="Calibri" w:hAnsi="Calibri" w:cs="Calibri"/>
                <w:spacing w:val="-2"/>
                <w:sz w:val="24"/>
                <w:szCs w:val="24"/>
              </w:rPr>
              <w:t>NIP 5842497498</w:t>
            </w:r>
          </w:p>
        </w:tc>
        <w:tc>
          <w:tcPr>
            <w:tcW w:w="2470" w:type="dxa"/>
            <w:shd w:val="clear" w:color="auto" w:fill="auto"/>
            <w:vAlign w:val="center"/>
          </w:tcPr>
          <w:p w14:paraId="2055D13B" w14:textId="77777777" w:rsidR="0090294C" w:rsidRDefault="0090294C" w:rsidP="00DB4EEE">
            <w:pPr>
              <w:ind w:right="101"/>
              <w:jc w:val="center"/>
              <w:rPr>
                <w:rFonts w:ascii="Calibri" w:hAnsi="Calibri" w:cs="Calibri"/>
                <w:b/>
                <w:bCs/>
                <w:spacing w:val="-2"/>
                <w:sz w:val="24"/>
                <w:szCs w:val="24"/>
              </w:rPr>
            </w:pPr>
            <w:r>
              <w:rPr>
                <w:rFonts w:ascii="Calibri" w:hAnsi="Calibri" w:cs="Calibri"/>
                <w:b/>
                <w:bCs/>
                <w:spacing w:val="-2"/>
                <w:sz w:val="24"/>
                <w:szCs w:val="24"/>
              </w:rPr>
              <w:t xml:space="preserve">79 900,- zł. </w:t>
            </w:r>
          </w:p>
        </w:tc>
        <w:tc>
          <w:tcPr>
            <w:tcW w:w="2775" w:type="dxa"/>
            <w:shd w:val="clear" w:color="auto" w:fill="auto"/>
            <w:vAlign w:val="center"/>
          </w:tcPr>
          <w:p w14:paraId="174891B0" w14:textId="77777777" w:rsidR="0090294C" w:rsidRDefault="0090294C" w:rsidP="00DB4EEE">
            <w:pPr>
              <w:ind w:right="101"/>
              <w:jc w:val="center"/>
              <w:rPr>
                <w:rFonts w:ascii="Calibri" w:hAnsi="Calibri" w:cs="Calibri"/>
                <w:spacing w:val="-2"/>
                <w:sz w:val="24"/>
                <w:szCs w:val="24"/>
              </w:rPr>
            </w:pPr>
            <w:r>
              <w:rPr>
                <w:rFonts w:ascii="Calibri" w:hAnsi="Calibri" w:cs="Calibri"/>
                <w:spacing w:val="-2"/>
                <w:sz w:val="24"/>
                <w:szCs w:val="24"/>
              </w:rPr>
              <w:t>o 36 miesięcy</w:t>
            </w:r>
          </w:p>
        </w:tc>
      </w:tr>
      <w:tr w:rsidR="0090294C" w14:paraId="726C6C01" w14:textId="77777777" w:rsidTr="0090294C">
        <w:tc>
          <w:tcPr>
            <w:tcW w:w="3817" w:type="dxa"/>
            <w:gridSpan w:val="2"/>
            <w:shd w:val="clear" w:color="auto" w:fill="auto"/>
          </w:tcPr>
          <w:p w14:paraId="629BFDBD" w14:textId="35143370" w:rsidR="0090294C" w:rsidRPr="0090294C" w:rsidRDefault="0090294C" w:rsidP="00DB4EEE">
            <w:pPr>
              <w:ind w:right="101"/>
              <w:rPr>
                <w:rFonts w:ascii="Calibri" w:hAnsi="Calibri" w:cs="Calibri"/>
                <w:sz w:val="20"/>
                <w:szCs w:val="20"/>
              </w:rPr>
            </w:pPr>
            <w:r w:rsidRPr="0090294C">
              <w:rPr>
                <w:rFonts w:ascii="Calibri" w:hAnsi="Calibri" w:cs="Calibri"/>
                <w:sz w:val="20"/>
                <w:szCs w:val="20"/>
              </w:rPr>
              <w:t>Liczba punktów w ramach kryterium:</w:t>
            </w:r>
          </w:p>
        </w:tc>
        <w:tc>
          <w:tcPr>
            <w:tcW w:w="2470" w:type="dxa"/>
            <w:shd w:val="clear" w:color="auto" w:fill="auto"/>
            <w:vAlign w:val="center"/>
          </w:tcPr>
          <w:p w14:paraId="15622217" w14:textId="71FFB7E1" w:rsidR="0090294C" w:rsidRDefault="0076184D" w:rsidP="00DB4EEE">
            <w:pPr>
              <w:ind w:right="101"/>
              <w:jc w:val="center"/>
              <w:rPr>
                <w:rFonts w:ascii="Calibri" w:hAnsi="Calibri" w:cs="Calibri"/>
                <w:b/>
                <w:bCs/>
                <w:spacing w:val="-2"/>
                <w:sz w:val="24"/>
                <w:szCs w:val="24"/>
              </w:rPr>
            </w:pPr>
            <w:r>
              <w:rPr>
                <w:rFonts w:ascii="Calibri" w:hAnsi="Calibri" w:cs="Calibri"/>
                <w:b/>
                <w:bCs/>
                <w:spacing w:val="-2"/>
                <w:sz w:val="24"/>
                <w:szCs w:val="24"/>
              </w:rPr>
              <w:t>60</w:t>
            </w:r>
          </w:p>
        </w:tc>
        <w:tc>
          <w:tcPr>
            <w:tcW w:w="2775" w:type="dxa"/>
            <w:shd w:val="clear" w:color="auto" w:fill="auto"/>
            <w:vAlign w:val="center"/>
          </w:tcPr>
          <w:p w14:paraId="70C28B71" w14:textId="3BB008E2" w:rsidR="0090294C" w:rsidRDefault="0076184D" w:rsidP="00DB4EEE">
            <w:pPr>
              <w:ind w:right="101"/>
              <w:jc w:val="center"/>
              <w:rPr>
                <w:rFonts w:ascii="Calibri" w:hAnsi="Calibri" w:cs="Calibri"/>
                <w:spacing w:val="-2"/>
                <w:sz w:val="24"/>
                <w:szCs w:val="24"/>
              </w:rPr>
            </w:pPr>
            <w:r>
              <w:rPr>
                <w:rFonts w:ascii="Calibri" w:hAnsi="Calibri" w:cs="Calibri"/>
                <w:spacing w:val="-2"/>
                <w:sz w:val="24"/>
                <w:szCs w:val="24"/>
              </w:rPr>
              <w:t>40</w:t>
            </w:r>
          </w:p>
        </w:tc>
      </w:tr>
      <w:tr w:rsidR="0076184D" w14:paraId="64C825D1" w14:textId="77777777" w:rsidTr="00FF5E12">
        <w:tc>
          <w:tcPr>
            <w:tcW w:w="3817" w:type="dxa"/>
            <w:gridSpan w:val="2"/>
            <w:shd w:val="clear" w:color="auto" w:fill="auto"/>
          </w:tcPr>
          <w:p w14:paraId="18957E4C" w14:textId="2CF47A80" w:rsidR="0076184D" w:rsidRDefault="0076184D" w:rsidP="00DB4EEE">
            <w:pPr>
              <w:ind w:right="101"/>
              <w:rPr>
                <w:rFonts w:ascii="Calibri" w:hAnsi="Calibri" w:cs="Calibri"/>
                <w:b/>
                <w:bCs/>
                <w:sz w:val="24"/>
                <w:szCs w:val="24"/>
              </w:rPr>
            </w:pPr>
            <w:r w:rsidRPr="0090294C">
              <w:rPr>
                <w:rFonts w:ascii="Calibri" w:hAnsi="Calibri" w:cs="Calibri"/>
                <w:sz w:val="20"/>
                <w:szCs w:val="20"/>
              </w:rPr>
              <w:t>Liczba punktów razem</w:t>
            </w:r>
          </w:p>
        </w:tc>
        <w:tc>
          <w:tcPr>
            <w:tcW w:w="5245" w:type="dxa"/>
            <w:gridSpan w:val="2"/>
            <w:shd w:val="clear" w:color="auto" w:fill="auto"/>
            <w:vAlign w:val="center"/>
          </w:tcPr>
          <w:p w14:paraId="32F10E8E" w14:textId="6E4F166B" w:rsidR="0076184D" w:rsidRDefault="0076184D" w:rsidP="00DB4EEE">
            <w:pPr>
              <w:ind w:right="101"/>
              <w:jc w:val="center"/>
              <w:rPr>
                <w:rFonts w:ascii="Calibri" w:hAnsi="Calibri" w:cs="Calibri"/>
                <w:spacing w:val="-2"/>
                <w:sz w:val="24"/>
                <w:szCs w:val="24"/>
              </w:rPr>
            </w:pPr>
            <w:r>
              <w:rPr>
                <w:rFonts w:ascii="Calibri" w:hAnsi="Calibri" w:cs="Calibri"/>
                <w:spacing w:val="-2"/>
                <w:sz w:val="24"/>
                <w:szCs w:val="24"/>
              </w:rPr>
              <w:t>100</w:t>
            </w:r>
          </w:p>
        </w:tc>
      </w:tr>
      <w:tr w:rsidR="0090294C" w14:paraId="427907CF" w14:textId="77777777" w:rsidTr="0090294C">
        <w:tc>
          <w:tcPr>
            <w:tcW w:w="614" w:type="dxa"/>
            <w:shd w:val="clear" w:color="auto" w:fill="auto"/>
          </w:tcPr>
          <w:p w14:paraId="50B70234" w14:textId="77777777" w:rsidR="0090294C" w:rsidRDefault="0090294C" w:rsidP="00DB4EEE">
            <w:pPr>
              <w:ind w:right="101"/>
              <w:rPr>
                <w:rFonts w:ascii="Calibri" w:hAnsi="Calibri" w:cs="Calibri"/>
                <w:b/>
                <w:bCs/>
                <w:spacing w:val="-2"/>
                <w:sz w:val="24"/>
                <w:szCs w:val="24"/>
              </w:rPr>
            </w:pPr>
            <w:r>
              <w:rPr>
                <w:rFonts w:ascii="Calibri" w:hAnsi="Calibri" w:cs="Calibri"/>
                <w:b/>
                <w:bCs/>
                <w:spacing w:val="-2"/>
                <w:sz w:val="24"/>
                <w:szCs w:val="24"/>
              </w:rPr>
              <w:t>2</w:t>
            </w:r>
          </w:p>
        </w:tc>
        <w:tc>
          <w:tcPr>
            <w:tcW w:w="3203" w:type="dxa"/>
            <w:shd w:val="clear" w:color="auto" w:fill="auto"/>
          </w:tcPr>
          <w:p w14:paraId="17DC60E8" w14:textId="77777777" w:rsidR="0090294C" w:rsidRDefault="0090294C" w:rsidP="00DB4EEE">
            <w:pPr>
              <w:ind w:right="101"/>
              <w:rPr>
                <w:rFonts w:ascii="Calibri" w:hAnsi="Calibri" w:cs="Calibri"/>
                <w:b/>
                <w:bCs/>
                <w:spacing w:val="-2"/>
                <w:sz w:val="24"/>
                <w:szCs w:val="24"/>
              </w:rPr>
            </w:pPr>
            <w:r>
              <w:rPr>
                <w:rFonts w:ascii="Calibri" w:hAnsi="Calibri" w:cs="Calibri"/>
                <w:b/>
                <w:bCs/>
                <w:spacing w:val="-2"/>
                <w:sz w:val="24"/>
                <w:szCs w:val="24"/>
              </w:rPr>
              <w:t>Gureco sp. z o.o. Rudna Wielka 16/1, 36-054 Mrowia</w:t>
            </w:r>
          </w:p>
          <w:p w14:paraId="7C7E59DA" w14:textId="77777777" w:rsidR="0090294C" w:rsidRDefault="0090294C" w:rsidP="00DB4EEE">
            <w:pPr>
              <w:ind w:right="101"/>
              <w:rPr>
                <w:rFonts w:ascii="Calibri" w:hAnsi="Calibri" w:cs="Calibri"/>
                <w:spacing w:val="-2"/>
                <w:sz w:val="24"/>
                <w:szCs w:val="24"/>
              </w:rPr>
            </w:pPr>
            <w:r>
              <w:rPr>
                <w:rFonts w:ascii="Calibri" w:hAnsi="Calibri" w:cs="Calibri"/>
                <w:spacing w:val="-2"/>
                <w:sz w:val="24"/>
                <w:szCs w:val="24"/>
              </w:rPr>
              <w:t>NIP 5170399707</w:t>
            </w:r>
          </w:p>
        </w:tc>
        <w:tc>
          <w:tcPr>
            <w:tcW w:w="2470" w:type="dxa"/>
            <w:shd w:val="clear" w:color="auto" w:fill="auto"/>
            <w:vAlign w:val="center"/>
          </w:tcPr>
          <w:p w14:paraId="1649FB88" w14:textId="77777777" w:rsidR="0090294C" w:rsidRDefault="0090294C" w:rsidP="00DB4EEE">
            <w:pPr>
              <w:ind w:right="101"/>
              <w:jc w:val="center"/>
              <w:rPr>
                <w:rFonts w:ascii="Calibri" w:hAnsi="Calibri" w:cs="Calibri"/>
                <w:b/>
                <w:bCs/>
                <w:spacing w:val="-2"/>
                <w:sz w:val="24"/>
                <w:szCs w:val="24"/>
              </w:rPr>
            </w:pPr>
            <w:r>
              <w:rPr>
                <w:rFonts w:ascii="Calibri" w:hAnsi="Calibri" w:cs="Calibri"/>
                <w:b/>
                <w:bCs/>
                <w:spacing w:val="-2"/>
                <w:sz w:val="24"/>
                <w:szCs w:val="24"/>
              </w:rPr>
              <w:t>72 000,- zł.</w:t>
            </w:r>
          </w:p>
        </w:tc>
        <w:tc>
          <w:tcPr>
            <w:tcW w:w="2775" w:type="dxa"/>
            <w:shd w:val="clear" w:color="auto" w:fill="auto"/>
            <w:vAlign w:val="center"/>
          </w:tcPr>
          <w:p w14:paraId="2F434349" w14:textId="77777777" w:rsidR="0090294C" w:rsidRDefault="0090294C" w:rsidP="00DB4EEE">
            <w:pPr>
              <w:ind w:right="101"/>
              <w:jc w:val="center"/>
              <w:rPr>
                <w:rFonts w:ascii="Calibri" w:hAnsi="Calibri" w:cs="Calibri"/>
                <w:spacing w:val="-2"/>
                <w:sz w:val="24"/>
                <w:szCs w:val="24"/>
              </w:rPr>
            </w:pPr>
            <w:r>
              <w:rPr>
                <w:rFonts w:ascii="Calibri" w:hAnsi="Calibri" w:cs="Calibri"/>
                <w:spacing w:val="-2"/>
                <w:sz w:val="24"/>
                <w:szCs w:val="24"/>
              </w:rPr>
              <w:t>o 36 miesięcy</w:t>
            </w:r>
          </w:p>
        </w:tc>
      </w:tr>
      <w:tr w:rsidR="0090294C" w14:paraId="7302C8C3" w14:textId="77777777" w:rsidTr="00784424">
        <w:tc>
          <w:tcPr>
            <w:tcW w:w="9062" w:type="dxa"/>
            <w:gridSpan w:val="4"/>
            <w:shd w:val="clear" w:color="auto" w:fill="auto"/>
          </w:tcPr>
          <w:p w14:paraId="00205252" w14:textId="5C719881" w:rsidR="0090294C" w:rsidRDefault="0090294C" w:rsidP="00DB4EEE">
            <w:pPr>
              <w:ind w:right="101"/>
              <w:jc w:val="center"/>
              <w:rPr>
                <w:rFonts w:ascii="Calibri" w:hAnsi="Calibri" w:cs="Calibri"/>
                <w:spacing w:val="-2"/>
                <w:sz w:val="24"/>
                <w:szCs w:val="24"/>
              </w:rPr>
            </w:pPr>
            <w:r>
              <w:rPr>
                <w:rFonts w:ascii="Calibri" w:hAnsi="Calibri" w:cs="Calibri"/>
                <w:spacing w:val="-2"/>
                <w:sz w:val="24"/>
                <w:szCs w:val="24"/>
              </w:rPr>
              <w:t>Oferta odrzucona</w:t>
            </w:r>
          </w:p>
        </w:tc>
      </w:tr>
      <w:tr w:rsidR="0090294C" w14:paraId="46EA158F" w14:textId="77777777" w:rsidTr="0090294C">
        <w:tc>
          <w:tcPr>
            <w:tcW w:w="614" w:type="dxa"/>
            <w:shd w:val="clear" w:color="auto" w:fill="auto"/>
          </w:tcPr>
          <w:p w14:paraId="382D6432" w14:textId="77777777" w:rsidR="0090294C" w:rsidRDefault="0090294C" w:rsidP="00DB4EEE">
            <w:pPr>
              <w:ind w:right="101"/>
              <w:rPr>
                <w:rFonts w:ascii="Calibri" w:hAnsi="Calibri" w:cs="Calibri"/>
                <w:b/>
                <w:bCs/>
                <w:spacing w:val="-2"/>
                <w:sz w:val="24"/>
                <w:szCs w:val="24"/>
              </w:rPr>
            </w:pPr>
            <w:r>
              <w:rPr>
                <w:rFonts w:ascii="Calibri" w:hAnsi="Calibri" w:cs="Calibri"/>
                <w:b/>
                <w:bCs/>
                <w:spacing w:val="-2"/>
                <w:sz w:val="24"/>
                <w:szCs w:val="24"/>
              </w:rPr>
              <w:lastRenderedPageBreak/>
              <w:t>3</w:t>
            </w:r>
          </w:p>
        </w:tc>
        <w:tc>
          <w:tcPr>
            <w:tcW w:w="3203" w:type="dxa"/>
            <w:shd w:val="clear" w:color="auto" w:fill="auto"/>
          </w:tcPr>
          <w:p w14:paraId="40699D64" w14:textId="77777777" w:rsidR="0090294C" w:rsidRDefault="0090294C" w:rsidP="00DB4EEE">
            <w:pPr>
              <w:ind w:right="101"/>
              <w:rPr>
                <w:rFonts w:ascii="Calibri" w:hAnsi="Calibri" w:cs="Calibri"/>
                <w:b/>
                <w:bCs/>
                <w:spacing w:val="-2"/>
                <w:sz w:val="24"/>
                <w:szCs w:val="24"/>
              </w:rPr>
            </w:pPr>
            <w:r>
              <w:rPr>
                <w:rFonts w:ascii="Calibri" w:hAnsi="Calibri" w:cs="Calibri"/>
                <w:b/>
                <w:bCs/>
                <w:spacing w:val="-2"/>
                <w:sz w:val="24"/>
                <w:szCs w:val="24"/>
              </w:rPr>
              <w:t>Stambud Sp. z o.o. u</w:t>
            </w:r>
            <w:r>
              <w:rPr>
                <w:rFonts w:ascii="Calibri" w:eastAsia="Calibri" w:hAnsi="Calibri" w:cs="Calibri"/>
                <w:b/>
                <w:bCs/>
                <w:sz w:val="24"/>
                <w:szCs w:val="24"/>
                <w:lang w:eastAsia="pl-PL"/>
              </w:rPr>
              <w:t>l. Św. Wojciecha 89, 32-085 Modlnica</w:t>
            </w:r>
          </w:p>
          <w:p w14:paraId="2EC7ED41" w14:textId="77777777" w:rsidR="0090294C" w:rsidRDefault="0090294C" w:rsidP="00DB4EEE">
            <w:pPr>
              <w:ind w:right="101"/>
              <w:rPr>
                <w:rFonts w:ascii="Calibri" w:hAnsi="Calibri" w:cs="Calibri"/>
                <w:spacing w:val="-2"/>
                <w:sz w:val="24"/>
                <w:szCs w:val="24"/>
              </w:rPr>
            </w:pPr>
            <w:r>
              <w:rPr>
                <w:rFonts w:ascii="Calibri" w:hAnsi="Calibri" w:cs="Calibri"/>
                <w:spacing w:val="-2"/>
                <w:sz w:val="24"/>
                <w:szCs w:val="24"/>
              </w:rPr>
              <w:t>NIP 9441783415</w:t>
            </w:r>
          </w:p>
        </w:tc>
        <w:tc>
          <w:tcPr>
            <w:tcW w:w="2470" w:type="dxa"/>
            <w:shd w:val="clear" w:color="auto" w:fill="auto"/>
            <w:vAlign w:val="center"/>
          </w:tcPr>
          <w:p w14:paraId="46E5ADFB" w14:textId="77777777" w:rsidR="0090294C" w:rsidRDefault="0090294C" w:rsidP="00DB4EEE">
            <w:pPr>
              <w:ind w:right="101"/>
              <w:jc w:val="center"/>
              <w:rPr>
                <w:rFonts w:ascii="Calibri" w:hAnsi="Calibri" w:cs="Calibri"/>
                <w:b/>
                <w:bCs/>
                <w:spacing w:val="-2"/>
                <w:sz w:val="24"/>
                <w:szCs w:val="24"/>
              </w:rPr>
            </w:pPr>
            <w:r>
              <w:rPr>
                <w:rFonts w:ascii="Calibri" w:hAnsi="Calibri" w:cs="Calibri"/>
                <w:b/>
                <w:bCs/>
                <w:spacing w:val="-2"/>
                <w:sz w:val="24"/>
                <w:szCs w:val="24"/>
              </w:rPr>
              <w:t>141 450,-  zł.</w:t>
            </w:r>
          </w:p>
        </w:tc>
        <w:tc>
          <w:tcPr>
            <w:tcW w:w="2775" w:type="dxa"/>
            <w:shd w:val="clear" w:color="auto" w:fill="auto"/>
            <w:vAlign w:val="center"/>
          </w:tcPr>
          <w:p w14:paraId="74504814" w14:textId="77777777" w:rsidR="0090294C" w:rsidRDefault="0090294C" w:rsidP="00DB4EEE">
            <w:pPr>
              <w:ind w:right="101"/>
              <w:jc w:val="center"/>
              <w:rPr>
                <w:rFonts w:ascii="Calibri" w:hAnsi="Calibri" w:cs="Calibri"/>
                <w:spacing w:val="-2"/>
                <w:sz w:val="24"/>
                <w:szCs w:val="24"/>
              </w:rPr>
            </w:pPr>
            <w:r>
              <w:rPr>
                <w:rFonts w:ascii="Calibri" w:hAnsi="Calibri" w:cs="Calibri"/>
                <w:spacing w:val="-2"/>
                <w:sz w:val="24"/>
                <w:szCs w:val="24"/>
              </w:rPr>
              <w:t>o 36 miesięcy</w:t>
            </w:r>
          </w:p>
        </w:tc>
      </w:tr>
      <w:tr w:rsidR="0090294C" w14:paraId="54D2640F" w14:textId="77777777" w:rsidTr="00ED1E00">
        <w:tc>
          <w:tcPr>
            <w:tcW w:w="3817" w:type="dxa"/>
            <w:gridSpan w:val="2"/>
            <w:shd w:val="clear" w:color="auto" w:fill="auto"/>
          </w:tcPr>
          <w:p w14:paraId="5AD4F864" w14:textId="4BBE35FB" w:rsidR="0090294C" w:rsidRDefault="0090294C" w:rsidP="0090294C">
            <w:pPr>
              <w:ind w:right="101"/>
              <w:rPr>
                <w:rFonts w:ascii="Calibri" w:hAnsi="Calibri" w:cs="Calibri"/>
                <w:b/>
                <w:bCs/>
                <w:spacing w:val="-2"/>
                <w:sz w:val="24"/>
                <w:szCs w:val="24"/>
              </w:rPr>
            </w:pPr>
            <w:r w:rsidRPr="0090294C">
              <w:rPr>
                <w:rFonts w:ascii="Calibri" w:hAnsi="Calibri" w:cs="Calibri"/>
                <w:sz w:val="20"/>
                <w:szCs w:val="20"/>
              </w:rPr>
              <w:t>Liczba punktów w ramach kryterium:</w:t>
            </w:r>
          </w:p>
        </w:tc>
        <w:tc>
          <w:tcPr>
            <w:tcW w:w="2470" w:type="dxa"/>
            <w:shd w:val="clear" w:color="auto" w:fill="auto"/>
            <w:vAlign w:val="center"/>
          </w:tcPr>
          <w:p w14:paraId="3749F1FD" w14:textId="522B903D" w:rsidR="0090294C" w:rsidRDefault="000E0C40" w:rsidP="0090294C">
            <w:pPr>
              <w:ind w:right="101"/>
              <w:jc w:val="center"/>
              <w:rPr>
                <w:rFonts w:ascii="Calibri" w:hAnsi="Calibri" w:cs="Calibri"/>
                <w:b/>
                <w:bCs/>
                <w:spacing w:val="-2"/>
                <w:sz w:val="24"/>
                <w:szCs w:val="24"/>
              </w:rPr>
            </w:pPr>
            <w:r>
              <w:rPr>
                <w:rFonts w:ascii="Calibri" w:hAnsi="Calibri" w:cs="Calibri"/>
                <w:b/>
                <w:bCs/>
                <w:spacing w:val="-2"/>
                <w:sz w:val="24"/>
                <w:szCs w:val="24"/>
              </w:rPr>
              <w:t>33,89</w:t>
            </w:r>
          </w:p>
        </w:tc>
        <w:tc>
          <w:tcPr>
            <w:tcW w:w="2775" w:type="dxa"/>
            <w:shd w:val="clear" w:color="auto" w:fill="auto"/>
            <w:vAlign w:val="center"/>
          </w:tcPr>
          <w:p w14:paraId="2AD552B3" w14:textId="6575FCD2" w:rsidR="0090294C" w:rsidRDefault="0076184D" w:rsidP="0090294C">
            <w:pPr>
              <w:ind w:right="101"/>
              <w:jc w:val="center"/>
              <w:rPr>
                <w:rFonts w:ascii="Calibri" w:hAnsi="Calibri" w:cs="Calibri"/>
                <w:spacing w:val="-2"/>
                <w:sz w:val="24"/>
                <w:szCs w:val="24"/>
              </w:rPr>
            </w:pPr>
            <w:r>
              <w:rPr>
                <w:rFonts w:ascii="Calibri" w:hAnsi="Calibri" w:cs="Calibri"/>
                <w:spacing w:val="-2"/>
                <w:sz w:val="24"/>
                <w:szCs w:val="24"/>
              </w:rPr>
              <w:t>40</w:t>
            </w:r>
          </w:p>
        </w:tc>
      </w:tr>
      <w:tr w:rsidR="0076184D" w14:paraId="2E648671" w14:textId="77777777" w:rsidTr="006F6F93">
        <w:tc>
          <w:tcPr>
            <w:tcW w:w="3817" w:type="dxa"/>
            <w:gridSpan w:val="2"/>
            <w:shd w:val="clear" w:color="auto" w:fill="auto"/>
          </w:tcPr>
          <w:p w14:paraId="37333261" w14:textId="5B29B686" w:rsidR="0076184D" w:rsidRDefault="0076184D" w:rsidP="0090294C">
            <w:pPr>
              <w:ind w:right="101"/>
              <w:rPr>
                <w:rFonts w:ascii="Calibri" w:hAnsi="Calibri" w:cs="Calibri"/>
                <w:b/>
                <w:bCs/>
                <w:spacing w:val="-2"/>
                <w:sz w:val="24"/>
                <w:szCs w:val="24"/>
              </w:rPr>
            </w:pPr>
            <w:r w:rsidRPr="0090294C">
              <w:rPr>
                <w:rFonts w:ascii="Calibri" w:hAnsi="Calibri" w:cs="Calibri"/>
                <w:sz w:val="20"/>
                <w:szCs w:val="20"/>
              </w:rPr>
              <w:t>Liczba punktów razem</w:t>
            </w:r>
          </w:p>
        </w:tc>
        <w:tc>
          <w:tcPr>
            <w:tcW w:w="5245" w:type="dxa"/>
            <w:gridSpan w:val="2"/>
            <w:shd w:val="clear" w:color="auto" w:fill="auto"/>
            <w:vAlign w:val="center"/>
          </w:tcPr>
          <w:p w14:paraId="765823DB" w14:textId="47A26B85" w:rsidR="0076184D" w:rsidRDefault="000E0C40" w:rsidP="0090294C">
            <w:pPr>
              <w:ind w:right="101"/>
              <w:jc w:val="center"/>
              <w:rPr>
                <w:rFonts w:ascii="Calibri" w:hAnsi="Calibri" w:cs="Calibri"/>
                <w:spacing w:val="-2"/>
                <w:sz w:val="24"/>
                <w:szCs w:val="24"/>
              </w:rPr>
            </w:pPr>
            <w:r>
              <w:rPr>
                <w:rFonts w:ascii="Calibri" w:hAnsi="Calibri" w:cs="Calibri"/>
                <w:spacing w:val="-2"/>
                <w:sz w:val="24"/>
                <w:szCs w:val="24"/>
              </w:rPr>
              <w:t>73,89</w:t>
            </w:r>
          </w:p>
        </w:tc>
      </w:tr>
    </w:tbl>
    <w:p w14:paraId="5C2E9CCC" w14:textId="77777777" w:rsidR="00F23819" w:rsidRDefault="00F23819" w:rsidP="00682EAB">
      <w:pPr>
        <w:pStyle w:val="Zwykytekst"/>
        <w:tabs>
          <w:tab w:val="left" w:leader="dot" w:pos="9072"/>
        </w:tabs>
        <w:spacing w:line="276" w:lineRule="auto"/>
        <w:jc w:val="both"/>
        <w:rPr>
          <w:rFonts w:asciiTheme="minorHAnsi" w:hAnsiTheme="minorHAnsi" w:cstheme="minorHAnsi"/>
          <w:bCs/>
          <w:sz w:val="22"/>
          <w:szCs w:val="22"/>
          <w:lang w:val="pl-PL"/>
        </w:rPr>
      </w:pPr>
    </w:p>
    <w:p w14:paraId="5DBA4B7A" w14:textId="77777777" w:rsidR="007B160C" w:rsidRDefault="007B160C" w:rsidP="00682EAB">
      <w:pPr>
        <w:pStyle w:val="Zwykytekst"/>
        <w:tabs>
          <w:tab w:val="left" w:leader="dot" w:pos="9072"/>
        </w:tabs>
        <w:spacing w:line="276" w:lineRule="auto"/>
        <w:jc w:val="both"/>
        <w:rPr>
          <w:rFonts w:asciiTheme="minorHAnsi" w:hAnsiTheme="minorHAnsi" w:cstheme="minorHAnsi"/>
          <w:bCs/>
          <w:sz w:val="22"/>
          <w:szCs w:val="22"/>
          <w:lang w:val="pl-PL"/>
        </w:rPr>
      </w:pPr>
    </w:p>
    <w:p w14:paraId="5E14E84F" w14:textId="632117EE" w:rsidR="007B160C" w:rsidRPr="006B3B41" w:rsidRDefault="007B160C" w:rsidP="007B160C">
      <w:pPr>
        <w:pStyle w:val="Zwykytekst"/>
        <w:tabs>
          <w:tab w:val="left" w:leader="dot" w:pos="9072"/>
        </w:tabs>
        <w:spacing w:line="276" w:lineRule="auto"/>
        <w:jc w:val="both"/>
        <w:rPr>
          <w:rFonts w:asciiTheme="minorHAnsi" w:hAnsiTheme="minorHAnsi" w:cstheme="minorHAnsi"/>
          <w:bCs/>
          <w:sz w:val="24"/>
          <w:szCs w:val="24"/>
          <w:lang w:val="pl-PL"/>
        </w:rPr>
      </w:pPr>
      <w:r w:rsidRPr="006B3B41">
        <w:rPr>
          <w:rFonts w:asciiTheme="minorHAnsi" w:hAnsiTheme="minorHAnsi" w:cstheme="minorHAnsi"/>
          <w:bCs/>
          <w:sz w:val="24"/>
          <w:szCs w:val="24"/>
          <w:lang w:val="pl-PL"/>
        </w:rPr>
        <w:t>2. Zamawiający</w:t>
      </w:r>
      <w:r w:rsidRPr="006B3B41">
        <w:rPr>
          <w:rFonts w:asciiTheme="minorHAnsi" w:hAnsiTheme="minorHAnsi" w:cstheme="minorHAnsi"/>
          <w:bCs/>
          <w:sz w:val="24"/>
          <w:szCs w:val="24"/>
          <w:lang w:val="pl-PL"/>
        </w:rPr>
        <w:t xml:space="preserve"> </w:t>
      </w:r>
      <w:r w:rsidRPr="006B3B41">
        <w:rPr>
          <w:rFonts w:asciiTheme="minorHAnsi" w:hAnsiTheme="minorHAnsi" w:cstheme="minorHAnsi"/>
          <w:bCs/>
          <w:sz w:val="24"/>
          <w:szCs w:val="24"/>
          <w:lang w:val="pl-PL"/>
        </w:rPr>
        <w:t xml:space="preserve"> odrzucił </w:t>
      </w:r>
      <w:r w:rsidRPr="006B3B41">
        <w:rPr>
          <w:rFonts w:asciiTheme="minorHAnsi" w:hAnsiTheme="minorHAnsi" w:cstheme="minorHAnsi"/>
          <w:bCs/>
          <w:sz w:val="24"/>
          <w:szCs w:val="24"/>
          <w:lang w:val="pl-PL"/>
        </w:rPr>
        <w:t>ofertę złożoną przez:</w:t>
      </w:r>
    </w:p>
    <w:p w14:paraId="206AE36A" w14:textId="77777777" w:rsidR="007B160C" w:rsidRPr="006B3B41" w:rsidRDefault="007B160C" w:rsidP="007B160C">
      <w:pPr>
        <w:pStyle w:val="Zwykytekst"/>
        <w:tabs>
          <w:tab w:val="left" w:leader="dot" w:pos="9072"/>
        </w:tabs>
        <w:spacing w:line="276" w:lineRule="auto"/>
        <w:jc w:val="both"/>
        <w:rPr>
          <w:rFonts w:asciiTheme="minorHAnsi" w:hAnsiTheme="minorHAnsi" w:cstheme="minorHAnsi"/>
          <w:bCs/>
          <w:sz w:val="24"/>
          <w:szCs w:val="24"/>
          <w:lang w:val="pl-PL"/>
        </w:rPr>
      </w:pPr>
    </w:p>
    <w:p w14:paraId="5092E68F" w14:textId="77777777" w:rsidR="007B160C" w:rsidRPr="006B3B41" w:rsidRDefault="007B160C" w:rsidP="007B160C">
      <w:pPr>
        <w:ind w:right="101"/>
        <w:rPr>
          <w:rFonts w:ascii="Calibri" w:hAnsi="Calibri" w:cs="Calibri"/>
          <w:b/>
          <w:bCs/>
          <w:spacing w:val="-2"/>
          <w:sz w:val="24"/>
          <w:szCs w:val="24"/>
        </w:rPr>
      </w:pPr>
      <w:r w:rsidRPr="006B3B41">
        <w:rPr>
          <w:rFonts w:ascii="Calibri" w:hAnsi="Calibri" w:cs="Calibri"/>
          <w:b/>
          <w:bCs/>
          <w:spacing w:val="-2"/>
          <w:sz w:val="24"/>
          <w:szCs w:val="24"/>
        </w:rPr>
        <w:t>Gureco sp. z o.o. Rudna Wielka 16/1, 36-054 Mrowia</w:t>
      </w:r>
    </w:p>
    <w:p w14:paraId="71BF3CF8" w14:textId="2EA3EE84" w:rsidR="007B160C" w:rsidRPr="006B3B41" w:rsidRDefault="007B160C" w:rsidP="007B160C">
      <w:pPr>
        <w:pStyle w:val="Zwykytekst"/>
        <w:tabs>
          <w:tab w:val="left" w:leader="dot" w:pos="9072"/>
        </w:tabs>
        <w:spacing w:line="276" w:lineRule="auto"/>
        <w:jc w:val="both"/>
        <w:rPr>
          <w:rFonts w:ascii="Calibri" w:hAnsi="Calibri" w:cs="Calibri"/>
          <w:spacing w:val="-2"/>
          <w:sz w:val="24"/>
          <w:szCs w:val="24"/>
        </w:rPr>
      </w:pPr>
      <w:r w:rsidRPr="006B3B41">
        <w:rPr>
          <w:rFonts w:ascii="Calibri" w:hAnsi="Calibri" w:cs="Calibri"/>
          <w:spacing w:val="-2"/>
          <w:sz w:val="24"/>
          <w:szCs w:val="24"/>
        </w:rPr>
        <w:t>NIP 5170399707</w:t>
      </w:r>
    </w:p>
    <w:p w14:paraId="03C80A66" w14:textId="77777777" w:rsidR="007B160C" w:rsidRPr="006B3B41" w:rsidRDefault="007B160C" w:rsidP="007B160C">
      <w:pPr>
        <w:pStyle w:val="Zwykytekst"/>
        <w:tabs>
          <w:tab w:val="left" w:leader="dot" w:pos="9072"/>
        </w:tabs>
        <w:spacing w:line="276" w:lineRule="auto"/>
        <w:jc w:val="both"/>
        <w:rPr>
          <w:rFonts w:ascii="Calibri" w:hAnsi="Calibri" w:cs="Calibri"/>
          <w:spacing w:val="-2"/>
          <w:sz w:val="24"/>
          <w:szCs w:val="24"/>
        </w:rPr>
      </w:pPr>
    </w:p>
    <w:p w14:paraId="054E450A" w14:textId="0CC000DA" w:rsidR="00E36A0F" w:rsidRPr="00E36A0F" w:rsidRDefault="00E36A0F" w:rsidP="00E36A0F">
      <w:pPr>
        <w:pStyle w:val="Default"/>
        <w:spacing w:after="131"/>
        <w:rPr>
          <w:rFonts w:asciiTheme="minorHAnsi" w:hAnsiTheme="minorHAnsi" w:cstheme="minorHAnsi"/>
        </w:rPr>
      </w:pPr>
      <w:r w:rsidRPr="00E36A0F">
        <w:rPr>
          <w:rFonts w:asciiTheme="minorHAnsi" w:hAnsiTheme="minorHAnsi" w:cstheme="minorHAnsi"/>
        </w:rPr>
        <w:t xml:space="preserve">Podstawa prawna:. art. 226 ust. 1 pkt 8  w zw. z art. 224 ust. 6 ustawy pzp </w:t>
      </w:r>
      <w:r w:rsidR="0076184D">
        <w:rPr>
          <w:rFonts w:asciiTheme="minorHAnsi" w:hAnsiTheme="minorHAnsi" w:cstheme="minorHAnsi"/>
        </w:rPr>
        <w:t xml:space="preserve"> w zw. z art. 226 ust. 1 pkt 5 ustawy pzp. </w:t>
      </w:r>
    </w:p>
    <w:p w14:paraId="26BB5412" w14:textId="77777777" w:rsidR="00E36A0F" w:rsidRPr="00E36A0F" w:rsidRDefault="00E36A0F" w:rsidP="00E36A0F">
      <w:pPr>
        <w:pStyle w:val="Default"/>
        <w:spacing w:after="131"/>
        <w:rPr>
          <w:rFonts w:asciiTheme="minorHAnsi" w:hAnsiTheme="minorHAnsi" w:cstheme="minorHAnsi"/>
        </w:rPr>
      </w:pPr>
      <w:r w:rsidRPr="00E36A0F">
        <w:rPr>
          <w:rFonts w:asciiTheme="minorHAnsi" w:hAnsiTheme="minorHAnsi" w:cstheme="minorHAnsi"/>
        </w:rPr>
        <w:t>Podstawa faktyczna:</w:t>
      </w:r>
    </w:p>
    <w:p w14:paraId="7B94FC4B" w14:textId="77777777" w:rsidR="00E36A0F" w:rsidRPr="00E36A0F" w:rsidRDefault="00E36A0F" w:rsidP="00E36A0F">
      <w:pPr>
        <w:pStyle w:val="Default"/>
        <w:spacing w:after="131"/>
        <w:ind w:left="360"/>
        <w:jc w:val="both"/>
        <w:rPr>
          <w:rFonts w:asciiTheme="minorHAnsi" w:hAnsiTheme="minorHAnsi" w:cstheme="minorHAnsi"/>
        </w:rPr>
      </w:pPr>
    </w:p>
    <w:p w14:paraId="1D9FCD92" w14:textId="74A54C88" w:rsidR="00E36A0F" w:rsidRPr="00E36A0F" w:rsidRDefault="00E36A0F" w:rsidP="0076184D">
      <w:pPr>
        <w:pStyle w:val="Default"/>
        <w:spacing w:after="131"/>
        <w:jc w:val="both"/>
        <w:rPr>
          <w:rFonts w:asciiTheme="minorHAnsi" w:hAnsiTheme="minorHAnsi" w:cstheme="minorHAnsi"/>
        </w:rPr>
      </w:pPr>
      <w:r w:rsidRPr="00E36A0F">
        <w:rPr>
          <w:rFonts w:asciiTheme="minorHAnsi" w:hAnsiTheme="minorHAnsi" w:cstheme="minorHAnsi"/>
        </w:rPr>
        <w:t xml:space="preserve">Zamawiający wystosował do Wykonawcy wezwanie do złożenia wyjaśnień w zakresie rażąco niskiej ceny na podstawie art. 224 ust. 1 w zw. z art. 266 ustawy pzp. Zamawiający wskazał, że wyjaśnienia te powinny być konkretne, jasne, wyczerpujące i rzeczywiście uzasadniające wiarygodny charakter ceny złożonej oferty oraz przedstawiać dowody na twierdzenie wykazujące, że możliwe i realne jest rzetelne wykonanie zamówienia za zaproponowaną w ofercie kwotę. </w:t>
      </w:r>
    </w:p>
    <w:p w14:paraId="169E2B7D" w14:textId="77777777" w:rsidR="00E36A0F" w:rsidRPr="00E36A0F" w:rsidRDefault="00E36A0F" w:rsidP="0076184D">
      <w:pPr>
        <w:pStyle w:val="Default"/>
        <w:spacing w:after="131"/>
        <w:jc w:val="both"/>
        <w:rPr>
          <w:rFonts w:asciiTheme="minorHAnsi" w:hAnsiTheme="minorHAnsi" w:cstheme="minorHAnsi"/>
        </w:rPr>
      </w:pPr>
      <w:r w:rsidRPr="00E36A0F">
        <w:rPr>
          <w:rFonts w:asciiTheme="minorHAnsi" w:hAnsiTheme="minorHAnsi" w:cstheme="minorHAnsi"/>
        </w:rPr>
        <w:t xml:space="preserve">W wyznaczonym terminie Wykonawca przedstawił wyjaśnienia. Zamawiający dokonał dokładnej analizy przedstawionych dokumentów. </w:t>
      </w:r>
    </w:p>
    <w:p w14:paraId="4CF71EE5" w14:textId="77777777" w:rsidR="00E36A0F" w:rsidRPr="00E36A0F" w:rsidRDefault="00E36A0F" w:rsidP="0076184D">
      <w:pPr>
        <w:pStyle w:val="Default"/>
        <w:spacing w:after="131"/>
        <w:jc w:val="both"/>
        <w:rPr>
          <w:rFonts w:asciiTheme="minorHAnsi" w:hAnsiTheme="minorHAnsi" w:cstheme="minorHAnsi"/>
        </w:rPr>
      </w:pPr>
      <w:r w:rsidRPr="00E36A0F">
        <w:rPr>
          <w:rFonts w:asciiTheme="minorHAnsi" w:hAnsiTheme="minorHAnsi" w:cstheme="minorHAnsi"/>
        </w:rPr>
        <w:t xml:space="preserve">Z momentem wszczęcia postępowania wyjaśniającego to na wykonawcy ciąży obowiązek udowodnienia, że zaoferowana przez niego cena nie jest rażąco niska w stosunku do przedmiotu zamówienia. Wykonawca jest obowiązany wskazać obiektywne czynniki mające istotny wpływ na wysokość ceny oferty (np. rozwiązania techniczne, wyjątkowo sprzyjające warunki wykonywania zamówienia dostępne dla wykonawcy). W przypadku kosztów pracy ich wartość przyjęta do ustalenia ceny nie może być jednak niższa od minimalnego wynagrodzenia za pracę ustalonego na podstawie art. 2 ust. 3-5 ustawy z dnia 10 października 2002 r. o minimalnym wynagrodzeniu za pracę (Dz. U. Nr 200, poz. 1679 z późn. zm.). Zgodnie z wyrokiem KIO z dnia 20 lutego 2012 r., KIO 109/12, KIO 125/12, www.uzp.gov.pl, "wszczęcie przez zamawiającego procedury wyjaśniającej (niezakwestionowane w terminie przez odwołującego się) ustanawia domniemanie prawne zaoferowania przez wzywanego do złożenia wyjaśnień wykonawcę ceny rażąco niskiej". Oznacza to, że na wykonawcy spoczywa ciężar wykazania, że zaoferowana cena nie jest rażąco niska. Z treści złożonych przez wykonawcę wyjaśnień powinno bezspornie wynikać, że chociażby cena zaoferowana przez wykonawcę jest ceną wiarygodną i porównywalną z cenami obowiązującymi na rynku za </w:t>
      </w:r>
      <w:r w:rsidRPr="00E36A0F">
        <w:rPr>
          <w:rFonts w:asciiTheme="minorHAnsi" w:hAnsiTheme="minorHAnsi" w:cstheme="minorHAnsi"/>
        </w:rPr>
        <w:lastRenderedPageBreak/>
        <w:t>realizację zamówień publicznych takich samych lub zbliżonych, realizacja tego zamówienia nie będzie poniżej kosztów przedsiębiorcy.</w:t>
      </w:r>
    </w:p>
    <w:p w14:paraId="3F6911C8" w14:textId="0475E0D7" w:rsidR="00E36A0F" w:rsidRPr="00E36A0F" w:rsidRDefault="00E36A0F" w:rsidP="0076184D">
      <w:pPr>
        <w:pStyle w:val="Default"/>
        <w:spacing w:after="131"/>
        <w:jc w:val="both"/>
        <w:rPr>
          <w:rFonts w:asciiTheme="minorHAnsi" w:hAnsiTheme="minorHAnsi" w:cstheme="minorHAnsi"/>
        </w:rPr>
      </w:pPr>
      <w:r w:rsidRPr="00E36A0F">
        <w:rPr>
          <w:rFonts w:asciiTheme="minorHAnsi" w:hAnsiTheme="minorHAnsi" w:cstheme="minorHAnsi"/>
        </w:rPr>
        <w:t xml:space="preserve">Wyjaśnienia Wykonawcy za wiarygodne, wyczerpujące i udowodnione uznać nie można. Wykonawca nie przedstawił szczegółowych kalkulacji, powołując się jedynie na ogólnikowe twierdzenia.  Do wyjaśnień nie dołączono dowodów potwierdzających prawidłowość i realność przyjętych kalkulacji cenowych i stawek. Zamawiający na podstawie tych wyjaśnień nie ma możliwości weryfikacji dokonanych wyliczeń. </w:t>
      </w:r>
    </w:p>
    <w:p w14:paraId="3CDBF049" w14:textId="77777777" w:rsidR="00E36A0F" w:rsidRPr="00E36A0F" w:rsidRDefault="00E36A0F" w:rsidP="0076184D">
      <w:pPr>
        <w:pStyle w:val="Default"/>
        <w:spacing w:after="131"/>
        <w:jc w:val="both"/>
        <w:rPr>
          <w:rFonts w:asciiTheme="minorHAnsi" w:hAnsiTheme="minorHAnsi" w:cstheme="minorHAnsi"/>
        </w:rPr>
      </w:pPr>
      <w:r w:rsidRPr="00E36A0F">
        <w:rPr>
          <w:rFonts w:asciiTheme="minorHAnsi" w:hAnsiTheme="minorHAnsi" w:cstheme="minorHAnsi"/>
        </w:rPr>
        <w:t xml:space="preserve">Zgodnie z art. 224 ust. 6 ustawy pzp odrzuceniu, jako oferta z rażąco niską ceną lub kosztem, podlega oferta wykonawcy, który nie udzielił wyjaśnień w wyznaczonym terminie, lub jeżeli złożone wyjaśnienia wraz z dowodami nie uzasadniają podanej w ofercie ceny lub kosztu. W myśl art. 226 ust. 1 pkt 8 ustawy pzp Zamawiający odrzuca ofertę jeżeli zawiera rażąco niską cenę lub koszt w stosunku do przedmiotu zamówienia. </w:t>
      </w:r>
    </w:p>
    <w:p w14:paraId="5C9DF70F" w14:textId="77777777" w:rsidR="00E36A0F" w:rsidRPr="00E36A0F" w:rsidRDefault="00E36A0F" w:rsidP="0076184D">
      <w:pPr>
        <w:pStyle w:val="Default"/>
        <w:spacing w:after="131"/>
        <w:jc w:val="both"/>
        <w:rPr>
          <w:rFonts w:asciiTheme="minorHAnsi" w:hAnsiTheme="minorHAnsi" w:cstheme="minorHAnsi"/>
        </w:rPr>
      </w:pPr>
      <w:r w:rsidRPr="00E36A0F">
        <w:rPr>
          <w:rFonts w:asciiTheme="minorHAnsi" w:hAnsiTheme="minorHAnsi" w:cstheme="minorHAnsi"/>
        </w:rPr>
        <w:t xml:space="preserve">Mając na uwadze powyższe ofertę Wykonawcy należało odrzucić. </w:t>
      </w:r>
    </w:p>
    <w:p w14:paraId="3117E03C" w14:textId="18F81EF3" w:rsidR="007B160C" w:rsidRPr="006B3B41" w:rsidRDefault="0076184D" w:rsidP="007B160C">
      <w:pPr>
        <w:pStyle w:val="Zwykytekst"/>
        <w:tabs>
          <w:tab w:val="left" w:leader="dot" w:pos="9072"/>
        </w:tabs>
        <w:spacing w:line="276" w:lineRule="auto"/>
        <w:jc w:val="both"/>
        <w:rPr>
          <w:rFonts w:ascii="Calibri" w:hAnsi="Calibri" w:cs="Calibri"/>
          <w:spacing w:val="-2"/>
          <w:sz w:val="24"/>
          <w:szCs w:val="24"/>
          <w:lang w:val="pl-PL"/>
        </w:rPr>
      </w:pPr>
      <w:r>
        <w:rPr>
          <w:rFonts w:ascii="Calibri" w:hAnsi="Calibri" w:cs="Calibri"/>
          <w:spacing w:val="-2"/>
          <w:sz w:val="24"/>
          <w:szCs w:val="24"/>
          <w:lang w:val="pl-PL"/>
        </w:rPr>
        <w:t xml:space="preserve">Ponadto, jak wynika z wyjaśnień Wykonawca oferuje odmienny sposób realizacji zamówienia niż wskazany w opisie przedmiotu zamówienia. Z tego tytułu należy przyjąć iż oferta nie jest zgodna z treścią opisu przedmiotu zamówienia a więc ziściła się przesłanka odrzucenia oferty o której mowa w art. 226 ust. 1 pkt 5 ustawy pzp. </w:t>
      </w:r>
    </w:p>
    <w:p w14:paraId="7B11E5E9" w14:textId="77777777" w:rsidR="007B160C" w:rsidRPr="006B3B41" w:rsidRDefault="007B160C" w:rsidP="007B160C">
      <w:pPr>
        <w:pStyle w:val="Zwykytekst"/>
        <w:tabs>
          <w:tab w:val="left" w:leader="dot" w:pos="9072"/>
        </w:tabs>
        <w:spacing w:line="276" w:lineRule="auto"/>
        <w:jc w:val="both"/>
        <w:rPr>
          <w:rFonts w:asciiTheme="minorHAnsi" w:hAnsiTheme="minorHAnsi" w:cstheme="minorHAnsi"/>
          <w:bCs/>
          <w:sz w:val="24"/>
          <w:szCs w:val="24"/>
          <w:lang w:val="pl-PL"/>
        </w:rPr>
      </w:pPr>
    </w:p>
    <w:p w14:paraId="2CE0D33D" w14:textId="2DC5D2F9" w:rsidR="007B160C" w:rsidRPr="006B3B41" w:rsidRDefault="007B160C" w:rsidP="007B160C">
      <w:pPr>
        <w:pStyle w:val="Zwykytekst"/>
        <w:tabs>
          <w:tab w:val="left" w:leader="dot" w:pos="9072"/>
        </w:tabs>
        <w:spacing w:line="276" w:lineRule="auto"/>
        <w:jc w:val="both"/>
        <w:rPr>
          <w:rFonts w:asciiTheme="minorHAnsi" w:hAnsiTheme="minorHAnsi" w:cstheme="minorHAnsi"/>
          <w:bCs/>
          <w:sz w:val="24"/>
          <w:szCs w:val="24"/>
          <w:lang w:val="pl-PL"/>
        </w:rPr>
      </w:pPr>
      <w:r w:rsidRPr="006B3B41">
        <w:rPr>
          <w:rFonts w:asciiTheme="minorHAnsi" w:hAnsiTheme="minorHAnsi" w:cstheme="minorHAnsi"/>
          <w:bCs/>
          <w:sz w:val="24"/>
          <w:szCs w:val="24"/>
          <w:lang w:val="pl-PL"/>
        </w:rPr>
        <w:t>3. Jako najkorzystniejszą wybrano ofertę złożoną przez:</w:t>
      </w:r>
    </w:p>
    <w:p w14:paraId="5B74E1CC" w14:textId="77777777" w:rsidR="007B160C" w:rsidRPr="006B3B41" w:rsidRDefault="007B160C" w:rsidP="007B160C">
      <w:pPr>
        <w:pStyle w:val="Zwykytekst"/>
        <w:tabs>
          <w:tab w:val="left" w:leader="dot" w:pos="9072"/>
        </w:tabs>
        <w:spacing w:line="276" w:lineRule="auto"/>
        <w:jc w:val="both"/>
        <w:rPr>
          <w:rFonts w:asciiTheme="minorHAnsi" w:hAnsiTheme="minorHAnsi" w:cstheme="minorHAnsi"/>
          <w:bCs/>
          <w:sz w:val="24"/>
          <w:szCs w:val="24"/>
          <w:lang w:val="pl-PL"/>
        </w:rPr>
      </w:pPr>
      <w:r w:rsidRPr="006B3B41">
        <w:rPr>
          <w:rFonts w:asciiTheme="minorHAnsi" w:hAnsiTheme="minorHAnsi" w:cstheme="minorHAnsi"/>
          <w:bCs/>
          <w:sz w:val="24"/>
          <w:szCs w:val="24"/>
          <w:lang w:val="pl-PL"/>
        </w:rPr>
        <w:t xml:space="preserve">P. U. Poż-Pliszka Sp. z o.o. </w:t>
      </w:r>
    </w:p>
    <w:p w14:paraId="2E0739CF" w14:textId="77777777" w:rsidR="007B160C" w:rsidRPr="006B3B41" w:rsidRDefault="007B160C" w:rsidP="007B160C">
      <w:pPr>
        <w:pStyle w:val="Zwykytekst"/>
        <w:tabs>
          <w:tab w:val="left" w:leader="dot" w:pos="9072"/>
        </w:tabs>
        <w:spacing w:line="276" w:lineRule="auto"/>
        <w:jc w:val="both"/>
        <w:rPr>
          <w:rFonts w:asciiTheme="minorHAnsi" w:hAnsiTheme="minorHAnsi" w:cstheme="minorHAnsi"/>
          <w:bCs/>
          <w:sz w:val="24"/>
          <w:szCs w:val="24"/>
          <w:lang w:val="pl-PL"/>
        </w:rPr>
      </w:pPr>
      <w:r w:rsidRPr="006B3B41">
        <w:rPr>
          <w:rFonts w:asciiTheme="minorHAnsi" w:hAnsiTheme="minorHAnsi" w:cstheme="minorHAnsi"/>
          <w:bCs/>
          <w:sz w:val="24"/>
          <w:szCs w:val="24"/>
          <w:lang w:val="pl-PL"/>
        </w:rPr>
        <w:t xml:space="preserve">ul. Miałki Szlak 52, </w:t>
      </w:r>
    </w:p>
    <w:p w14:paraId="664186D9" w14:textId="77777777" w:rsidR="007B160C" w:rsidRPr="006B3B41" w:rsidRDefault="007B160C" w:rsidP="007B160C">
      <w:pPr>
        <w:pStyle w:val="Zwykytekst"/>
        <w:tabs>
          <w:tab w:val="left" w:leader="dot" w:pos="9072"/>
        </w:tabs>
        <w:spacing w:line="276" w:lineRule="auto"/>
        <w:jc w:val="both"/>
        <w:rPr>
          <w:rFonts w:asciiTheme="minorHAnsi" w:hAnsiTheme="minorHAnsi" w:cstheme="minorHAnsi"/>
          <w:bCs/>
          <w:sz w:val="24"/>
          <w:szCs w:val="24"/>
          <w:lang w:val="pl-PL"/>
        </w:rPr>
      </w:pPr>
      <w:r w:rsidRPr="006B3B41">
        <w:rPr>
          <w:rFonts w:asciiTheme="minorHAnsi" w:hAnsiTheme="minorHAnsi" w:cstheme="minorHAnsi"/>
          <w:bCs/>
          <w:sz w:val="24"/>
          <w:szCs w:val="24"/>
          <w:lang w:val="pl-PL"/>
        </w:rPr>
        <w:t xml:space="preserve">80-717 Gdańsk </w:t>
      </w:r>
    </w:p>
    <w:p w14:paraId="5EED0CC5" w14:textId="7ADF2C10" w:rsidR="007B160C" w:rsidRPr="006B3B41" w:rsidRDefault="007B160C" w:rsidP="007B160C">
      <w:pPr>
        <w:pStyle w:val="Zwykytekst"/>
        <w:tabs>
          <w:tab w:val="left" w:leader="dot" w:pos="9072"/>
        </w:tabs>
        <w:spacing w:line="276" w:lineRule="auto"/>
        <w:jc w:val="both"/>
        <w:rPr>
          <w:rFonts w:asciiTheme="minorHAnsi" w:hAnsiTheme="minorHAnsi" w:cstheme="minorHAnsi"/>
          <w:bCs/>
          <w:sz w:val="24"/>
          <w:szCs w:val="24"/>
          <w:lang w:val="pl-PL"/>
        </w:rPr>
      </w:pPr>
      <w:r w:rsidRPr="006B3B41">
        <w:rPr>
          <w:rFonts w:asciiTheme="minorHAnsi" w:hAnsiTheme="minorHAnsi" w:cstheme="minorHAnsi"/>
          <w:bCs/>
          <w:sz w:val="24"/>
          <w:szCs w:val="24"/>
          <w:lang w:val="pl-PL"/>
        </w:rPr>
        <w:t>NIP 5842497498</w:t>
      </w:r>
    </w:p>
    <w:p w14:paraId="018DC4A0" w14:textId="7DAAFD18" w:rsidR="007B160C" w:rsidRPr="006B3B41" w:rsidRDefault="007B160C" w:rsidP="007B160C">
      <w:pPr>
        <w:pStyle w:val="Zwykytekst"/>
        <w:tabs>
          <w:tab w:val="left" w:leader="dot" w:pos="9072"/>
        </w:tabs>
        <w:spacing w:line="276" w:lineRule="auto"/>
        <w:jc w:val="both"/>
        <w:rPr>
          <w:rFonts w:asciiTheme="minorHAnsi" w:hAnsiTheme="minorHAnsi" w:cstheme="minorHAnsi"/>
          <w:bCs/>
          <w:sz w:val="24"/>
          <w:szCs w:val="24"/>
          <w:lang w:val="pl-PL"/>
        </w:rPr>
      </w:pPr>
      <w:r w:rsidRPr="006B3B41">
        <w:rPr>
          <w:rFonts w:asciiTheme="minorHAnsi" w:hAnsiTheme="minorHAnsi" w:cstheme="minorHAnsi"/>
          <w:bCs/>
          <w:sz w:val="24"/>
          <w:szCs w:val="24"/>
          <w:lang w:val="pl-PL"/>
        </w:rPr>
        <w:t xml:space="preserve">Cena: </w:t>
      </w:r>
      <w:r w:rsidRPr="006B3B41">
        <w:rPr>
          <w:rFonts w:asciiTheme="minorHAnsi" w:hAnsiTheme="minorHAnsi" w:cstheme="minorHAnsi"/>
          <w:bCs/>
          <w:sz w:val="24"/>
          <w:szCs w:val="24"/>
          <w:lang w:val="pl-PL"/>
        </w:rPr>
        <w:t>79 900,- zł.</w:t>
      </w:r>
    </w:p>
    <w:p w14:paraId="0FF8F2F6" w14:textId="77777777" w:rsidR="007B160C" w:rsidRPr="006B3B41" w:rsidRDefault="007B160C" w:rsidP="007B160C">
      <w:pPr>
        <w:pStyle w:val="Zwykytekst"/>
        <w:tabs>
          <w:tab w:val="left" w:leader="dot" w:pos="9072"/>
        </w:tabs>
        <w:spacing w:line="276" w:lineRule="auto"/>
        <w:jc w:val="both"/>
        <w:rPr>
          <w:rFonts w:asciiTheme="minorHAnsi" w:hAnsiTheme="minorHAnsi" w:cstheme="minorHAnsi"/>
          <w:bCs/>
          <w:sz w:val="24"/>
          <w:szCs w:val="24"/>
          <w:lang w:val="pl-PL"/>
        </w:rPr>
      </w:pPr>
    </w:p>
    <w:p w14:paraId="62E10074" w14:textId="5A62D65E" w:rsidR="007B160C" w:rsidRPr="006B3B41" w:rsidRDefault="007B160C" w:rsidP="007B160C">
      <w:pPr>
        <w:pStyle w:val="Zwykytekst"/>
        <w:tabs>
          <w:tab w:val="left" w:leader="dot" w:pos="9072"/>
        </w:tabs>
        <w:spacing w:line="276" w:lineRule="auto"/>
        <w:jc w:val="both"/>
        <w:rPr>
          <w:rFonts w:asciiTheme="minorHAnsi" w:hAnsiTheme="minorHAnsi" w:cstheme="minorHAnsi"/>
          <w:bCs/>
          <w:sz w:val="24"/>
          <w:szCs w:val="24"/>
          <w:lang w:val="pl-PL"/>
        </w:rPr>
      </w:pPr>
      <w:r w:rsidRPr="006B3B41">
        <w:rPr>
          <w:rFonts w:asciiTheme="minorHAnsi" w:hAnsiTheme="minorHAnsi" w:cstheme="minorHAnsi"/>
          <w:bCs/>
          <w:sz w:val="24"/>
          <w:szCs w:val="24"/>
          <w:lang w:val="pl-PL"/>
        </w:rPr>
        <w:t>Uzasadnienie: Oferta przedstawiająca najkorzystniejszy bilans</w:t>
      </w:r>
      <w:r w:rsidRPr="006B3B41">
        <w:rPr>
          <w:rFonts w:asciiTheme="minorHAnsi" w:hAnsiTheme="minorHAnsi" w:cstheme="minorHAnsi"/>
          <w:bCs/>
          <w:sz w:val="24"/>
          <w:szCs w:val="24"/>
          <w:lang w:val="pl-PL"/>
        </w:rPr>
        <w:t xml:space="preserve"> </w:t>
      </w:r>
      <w:r w:rsidRPr="006B3B41">
        <w:rPr>
          <w:rFonts w:asciiTheme="minorHAnsi" w:hAnsiTheme="minorHAnsi" w:cstheme="minorHAnsi"/>
          <w:bCs/>
          <w:sz w:val="24"/>
          <w:szCs w:val="24"/>
          <w:lang w:val="pl-PL"/>
        </w:rPr>
        <w:t>punktowy przyjętych w postępowaniu kryteriów wyboru oferty najkorzystniejszej.</w:t>
      </w:r>
    </w:p>
    <w:sectPr w:rsidR="007B160C" w:rsidRPr="006B3B41" w:rsidSect="002A4236">
      <w:footerReference w:type="default" r:id="rId7"/>
      <w:headerReference w:type="first" r:id="rId8"/>
      <w:footerReference w:type="first" r:id="rId9"/>
      <w:pgSz w:w="11906" w:h="16838"/>
      <w:pgMar w:top="1417" w:right="1417" w:bottom="1417" w:left="1417" w:header="708" w:footer="2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9A843" w14:textId="77777777" w:rsidR="007F6E68" w:rsidRDefault="007F6E68" w:rsidP="002A4236">
      <w:pPr>
        <w:spacing w:after="0" w:line="240" w:lineRule="auto"/>
      </w:pPr>
      <w:r>
        <w:separator/>
      </w:r>
    </w:p>
  </w:endnote>
  <w:endnote w:type="continuationSeparator" w:id="0">
    <w:p w14:paraId="3E4544A2" w14:textId="77777777" w:rsidR="007F6E68" w:rsidRDefault="007F6E68" w:rsidP="002A4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krobat">
    <w:altName w:val="Calibri"/>
    <w:panose1 w:val="00000000000000000000"/>
    <w:charset w:val="EE"/>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Muli">
    <w:altName w:val="Calibri"/>
    <w:charset w:val="EE"/>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047724"/>
      <w:docPartObj>
        <w:docPartGallery w:val="Page Numbers (Bottom of Page)"/>
        <w:docPartUnique/>
      </w:docPartObj>
    </w:sdtPr>
    <w:sdtContent>
      <w:sdt>
        <w:sdtPr>
          <w:id w:val="-1450318263"/>
          <w:docPartObj>
            <w:docPartGallery w:val="Page Numbers (Top of Page)"/>
            <w:docPartUnique/>
          </w:docPartObj>
        </w:sdtPr>
        <w:sdtContent>
          <w:p w14:paraId="570DF33F" w14:textId="40432F4F" w:rsidR="002A4236" w:rsidRPr="002A4236" w:rsidRDefault="002A4236">
            <w:pPr>
              <w:pStyle w:val="Stopka"/>
              <w:jc w:val="right"/>
            </w:pPr>
            <w:r w:rsidRPr="002A4236">
              <w:rPr>
                <w:rFonts w:ascii="Verdana" w:hAnsi="Verdana"/>
              </w:rPr>
              <w:t xml:space="preserve"> </w:t>
            </w:r>
            <w:r w:rsidRPr="002A4236">
              <w:rPr>
                <w:rFonts w:ascii="Verdana" w:hAnsi="Verdana"/>
                <w:bCs/>
                <w:sz w:val="24"/>
                <w:szCs w:val="24"/>
              </w:rPr>
              <w:fldChar w:fldCharType="begin"/>
            </w:r>
            <w:r w:rsidRPr="002A4236">
              <w:rPr>
                <w:rFonts w:ascii="Verdana" w:hAnsi="Verdana"/>
                <w:bCs/>
              </w:rPr>
              <w:instrText>PAGE</w:instrText>
            </w:r>
            <w:r w:rsidRPr="002A4236">
              <w:rPr>
                <w:rFonts w:ascii="Verdana" w:hAnsi="Verdana"/>
                <w:bCs/>
                <w:sz w:val="24"/>
                <w:szCs w:val="24"/>
              </w:rPr>
              <w:fldChar w:fldCharType="separate"/>
            </w:r>
            <w:r w:rsidR="009F5E15">
              <w:rPr>
                <w:rFonts w:ascii="Verdana" w:hAnsi="Verdana"/>
                <w:bCs/>
                <w:noProof/>
              </w:rPr>
              <w:t>2</w:t>
            </w:r>
            <w:r w:rsidRPr="002A4236">
              <w:rPr>
                <w:rFonts w:ascii="Verdana" w:hAnsi="Verdana"/>
                <w:bCs/>
                <w:sz w:val="24"/>
                <w:szCs w:val="24"/>
              </w:rPr>
              <w:fldChar w:fldCharType="end"/>
            </w:r>
            <w:r w:rsidRPr="002A4236">
              <w:rPr>
                <w:rFonts w:ascii="Verdana" w:hAnsi="Verdana"/>
              </w:rPr>
              <w:t xml:space="preserve"> z </w:t>
            </w:r>
            <w:r w:rsidRPr="002A4236">
              <w:rPr>
                <w:rFonts w:ascii="Verdana" w:hAnsi="Verdana"/>
                <w:bCs/>
                <w:sz w:val="24"/>
                <w:szCs w:val="24"/>
              </w:rPr>
              <w:fldChar w:fldCharType="begin"/>
            </w:r>
            <w:r w:rsidRPr="002A4236">
              <w:rPr>
                <w:rFonts w:ascii="Verdana" w:hAnsi="Verdana"/>
                <w:bCs/>
              </w:rPr>
              <w:instrText>NUMPAGES</w:instrText>
            </w:r>
            <w:r w:rsidRPr="002A4236">
              <w:rPr>
                <w:rFonts w:ascii="Verdana" w:hAnsi="Verdana"/>
                <w:bCs/>
                <w:sz w:val="24"/>
                <w:szCs w:val="24"/>
              </w:rPr>
              <w:fldChar w:fldCharType="separate"/>
            </w:r>
            <w:r w:rsidR="009F5E15">
              <w:rPr>
                <w:rFonts w:ascii="Verdana" w:hAnsi="Verdana"/>
                <w:bCs/>
                <w:noProof/>
              </w:rPr>
              <w:t>2</w:t>
            </w:r>
            <w:r w:rsidRPr="002A4236">
              <w:rPr>
                <w:rFonts w:ascii="Verdana" w:hAnsi="Verdana"/>
                <w:bCs/>
                <w:sz w:val="24"/>
                <w:szCs w:val="24"/>
              </w:rPr>
              <w:fldChar w:fldCharType="end"/>
            </w:r>
          </w:p>
        </w:sdtContent>
      </w:sdt>
    </w:sdtContent>
  </w:sdt>
  <w:p w14:paraId="4D399EC3" w14:textId="77777777" w:rsidR="002A4236" w:rsidRDefault="002A423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E737" w14:textId="6FCF1409" w:rsidR="00A3594A" w:rsidRPr="007C6A92" w:rsidRDefault="0077201D" w:rsidP="007C6A92">
    <w:pPr>
      <w:pStyle w:val="Stopka"/>
      <w:rPr>
        <w:rFonts w:ascii="Muli" w:hAnsi="Muli"/>
        <w:color w:val="808080" w:themeColor="background1" w:themeShade="80"/>
        <w:sz w:val="12"/>
        <w:szCs w:val="12"/>
      </w:rPr>
    </w:pPr>
    <w:r>
      <w:rPr>
        <w:noProof/>
        <w:lang w:eastAsia="pl-PL"/>
      </w:rPr>
      <w:drawing>
        <wp:inline distT="0" distB="0" distL="0" distR="0" wp14:anchorId="76408172" wp14:editId="23B2ED13">
          <wp:extent cx="5759450" cy="1134110"/>
          <wp:effectExtent l="0" t="0" r="0" b="8890"/>
          <wp:docPr id="3" name="Obraz 3" descr="\\srv01\redirected\users\j.stanek\Pulpit\rgb_kolor_FE_POIS_barwy_RP_Europejski_Fundusz_Rozwoju_Regionalnego_bez_MFIPR-01.jpg"/>
          <wp:cNvGraphicFramePr/>
          <a:graphic xmlns:a="http://schemas.openxmlformats.org/drawingml/2006/main">
            <a:graphicData uri="http://schemas.openxmlformats.org/drawingml/2006/picture">
              <pic:pic xmlns:pic="http://schemas.openxmlformats.org/drawingml/2006/picture">
                <pic:nvPicPr>
                  <pic:cNvPr id="1" name="Obraz 1" descr="\\srv01\redirected\users\j.stanek\Pulpit\rgb_kolor_FE_POIS_barwy_RP_Europejski_Fundusz_Rozwoju_Regionalnego_bez_MFIPR-0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1134110"/>
                  </a:xfrm>
                  <a:prstGeom prst="rect">
                    <a:avLst/>
                  </a:prstGeom>
                  <a:noFill/>
                  <a:ln>
                    <a:noFill/>
                  </a:ln>
                </pic:spPr>
              </pic:pic>
            </a:graphicData>
          </a:graphic>
        </wp:inline>
      </w:drawing>
    </w:r>
  </w:p>
  <w:p w14:paraId="4FEA1D32" w14:textId="77777777" w:rsidR="002A4236" w:rsidRPr="002A4236" w:rsidRDefault="002A4236" w:rsidP="007503B8">
    <w:pPr>
      <w:pStyle w:val="Stopka"/>
      <w:jc w:val="center"/>
      <w:rPr>
        <w:rFonts w:ascii="Verdana" w:hAnsi="Verdana"/>
        <w:color w:val="808080" w:themeColor="background1" w:themeShade="80"/>
        <w:sz w:val="12"/>
        <w:szCs w:val="1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A600" w14:textId="77777777" w:rsidR="007F6E68" w:rsidRDefault="007F6E68" w:rsidP="002A4236">
      <w:pPr>
        <w:spacing w:after="0" w:line="240" w:lineRule="auto"/>
      </w:pPr>
      <w:r>
        <w:separator/>
      </w:r>
    </w:p>
  </w:footnote>
  <w:footnote w:type="continuationSeparator" w:id="0">
    <w:p w14:paraId="6E5CEC3D" w14:textId="77777777" w:rsidR="007F6E68" w:rsidRDefault="007F6E68" w:rsidP="002A4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42E3" w14:textId="719ECC25" w:rsidR="002A4236" w:rsidRPr="008327A3" w:rsidRDefault="00645F1F" w:rsidP="00B54E60">
    <w:pPr>
      <w:pStyle w:val="Nagwek"/>
      <w:tabs>
        <w:tab w:val="clear" w:pos="9072"/>
      </w:tabs>
      <w:rPr>
        <w:rFonts w:cstheme="minorHAnsi"/>
      </w:rPr>
    </w:pPr>
    <w:r w:rsidRPr="00541706">
      <w:rPr>
        <w:noProof/>
      </w:rPr>
      <w:drawing>
        <wp:inline distT="0" distB="0" distL="0" distR="0" wp14:anchorId="20F854D4" wp14:editId="2CB16DD7">
          <wp:extent cx="5753735" cy="1107440"/>
          <wp:effectExtent l="0" t="0" r="0" b="0"/>
          <wp:docPr id="1206405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1107440"/>
                  </a:xfrm>
                  <a:prstGeom prst="rect">
                    <a:avLst/>
                  </a:prstGeom>
                  <a:noFill/>
                  <a:ln>
                    <a:noFill/>
                  </a:ln>
                </pic:spPr>
              </pic:pic>
            </a:graphicData>
          </a:graphic>
        </wp:inline>
      </w:drawing>
    </w:r>
    <w:r w:rsidR="00B54E60">
      <w:tab/>
    </w:r>
    <w:r w:rsidR="00637F52" w:rsidRPr="008327A3">
      <w:rPr>
        <w:rFonts w:cstheme="minorHAnsi"/>
      </w:rPr>
      <w:t>ZP-</w:t>
    </w:r>
    <w:r w:rsidR="00F23819">
      <w:rPr>
        <w:rFonts w:cstheme="minorHAnsi"/>
      </w:rPr>
      <w:t>12</w:t>
    </w:r>
    <w:r w:rsidR="008327A3" w:rsidRPr="008327A3">
      <w:rPr>
        <w:rFonts w:cstheme="minorHAnsi"/>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C447D"/>
    <w:multiLevelType w:val="multilevel"/>
    <w:tmpl w:val="4004647C"/>
    <w:lvl w:ilvl="0">
      <w:start w:val="1"/>
      <w:numFmt w:val="none"/>
      <w:suff w:val="nothing"/>
      <w:lvlText w:val=""/>
      <w:lvlJc w:val="left"/>
      <w:pPr>
        <w:tabs>
          <w:tab w:val="num" w:pos="432"/>
        </w:tabs>
        <w:ind w:left="432" w:hanging="432"/>
      </w:pPr>
    </w:lvl>
    <w:lvl w:ilvl="1">
      <w:start w:val="1"/>
      <w:numFmt w:val="decimal"/>
      <w:lvlText w:val="%2."/>
      <w:lvlJc w:val="left"/>
      <w:pPr>
        <w:tabs>
          <w:tab w:val="num" w:pos="0"/>
        </w:tabs>
        <w:ind w:left="576" w:hanging="576"/>
      </w:pPr>
    </w:lvl>
    <w:lvl w:ilvl="2">
      <w:start w:val="1"/>
      <w:numFmt w:val="decimal"/>
      <w:lvlText w:val="%3."/>
      <w:lvlJc w:val="left"/>
      <w:pPr>
        <w:tabs>
          <w:tab w:val="num" w:pos="0"/>
        </w:tabs>
        <w:ind w:left="720" w:hanging="720"/>
      </w:pPr>
      <w:rPr>
        <w:b w:val="0"/>
        <w:b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BDA679F"/>
    <w:multiLevelType w:val="hybridMultilevel"/>
    <w:tmpl w:val="781C2B2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7DE80294"/>
    <w:multiLevelType w:val="hybridMultilevel"/>
    <w:tmpl w:val="16984C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536962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52067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1478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9F"/>
    <w:rsid w:val="0001113B"/>
    <w:rsid w:val="00014600"/>
    <w:rsid w:val="000230B5"/>
    <w:rsid w:val="0002634C"/>
    <w:rsid w:val="00026E3D"/>
    <w:rsid w:val="0003177C"/>
    <w:rsid w:val="00032951"/>
    <w:rsid w:val="000340A6"/>
    <w:rsid w:val="000418CD"/>
    <w:rsid w:val="00041F35"/>
    <w:rsid w:val="000438F4"/>
    <w:rsid w:val="00050899"/>
    <w:rsid w:val="00052243"/>
    <w:rsid w:val="0005277E"/>
    <w:rsid w:val="00052E0C"/>
    <w:rsid w:val="00060158"/>
    <w:rsid w:val="00061F38"/>
    <w:rsid w:val="0006328F"/>
    <w:rsid w:val="0006445E"/>
    <w:rsid w:val="00070719"/>
    <w:rsid w:val="000720AF"/>
    <w:rsid w:val="00072E6E"/>
    <w:rsid w:val="00073799"/>
    <w:rsid w:val="00083968"/>
    <w:rsid w:val="000866F4"/>
    <w:rsid w:val="000926B0"/>
    <w:rsid w:val="00096073"/>
    <w:rsid w:val="000A2285"/>
    <w:rsid w:val="000A3A7C"/>
    <w:rsid w:val="000A4B5F"/>
    <w:rsid w:val="000A5C3E"/>
    <w:rsid w:val="000A7062"/>
    <w:rsid w:val="000B343E"/>
    <w:rsid w:val="000B6220"/>
    <w:rsid w:val="000C3937"/>
    <w:rsid w:val="000C5A24"/>
    <w:rsid w:val="000C7686"/>
    <w:rsid w:val="000E0C18"/>
    <w:rsid w:val="000E0C40"/>
    <w:rsid w:val="000E2181"/>
    <w:rsid w:val="000E26CD"/>
    <w:rsid w:val="000F3A42"/>
    <w:rsid w:val="000F3FF2"/>
    <w:rsid w:val="00100B2B"/>
    <w:rsid w:val="001049BA"/>
    <w:rsid w:val="00105A60"/>
    <w:rsid w:val="00105D8E"/>
    <w:rsid w:val="0011074E"/>
    <w:rsid w:val="001109F4"/>
    <w:rsid w:val="00112EFC"/>
    <w:rsid w:val="00117276"/>
    <w:rsid w:val="001249E4"/>
    <w:rsid w:val="001332CC"/>
    <w:rsid w:val="001339B1"/>
    <w:rsid w:val="00133BA2"/>
    <w:rsid w:val="00135A83"/>
    <w:rsid w:val="0013764E"/>
    <w:rsid w:val="001376E6"/>
    <w:rsid w:val="00140A4C"/>
    <w:rsid w:val="00140BB8"/>
    <w:rsid w:val="00140C64"/>
    <w:rsid w:val="001534E3"/>
    <w:rsid w:val="001542A2"/>
    <w:rsid w:val="001548E0"/>
    <w:rsid w:val="001574F1"/>
    <w:rsid w:val="00163C98"/>
    <w:rsid w:val="00170575"/>
    <w:rsid w:val="00170586"/>
    <w:rsid w:val="001712AA"/>
    <w:rsid w:val="00172991"/>
    <w:rsid w:val="001729B3"/>
    <w:rsid w:val="00173190"/>
    <w:rsid w:val="00173927"/>
    <w:rsid w:val="00177143"/>
    <w:rsid w:val="00177E7F"/>
    <w:rsid w:val="00180C6E"/>
    <w:rsid w:val="00181842"/>
    <w:rsid w:val="00185DB9"/>
    <w:rsid w:val="00185FA1"/>
    <w:rsid w:val="00194ACE"/>
    <w:rsid w:val="0019525C"/>
    <w:rsid w:val="001A53BC"/>
    <w:rsid w:val="001B4FCA"/>
    <w:rsid w:val="001C0391"/>
    <w:rsid w:val="001C0C46"/>
    <w:rsid w:val="001C6E37"/>
    <w:rsid w:val="001C7D11"/>
    <w:rsid w:val="001F3D60"/>
    <w:rsid w:val="002053A8"/>
    <w:rsid w:val="00205F99"/>
    <w:rsid w:val="00206AB5"/>
    <w:rsid w:val="00213E37"/>
    <w:rsid w:val="00222693"/>
    <w:rsid w:val="0022442F"/>
    <w:rsid w:val="00225373"/>
    <w:rsid w:val="0023298E"/>
    <w:rsid w:val="0024112E"/>
    <w:rsid w:val="00243480"/>
    <w:rsid w:val="00247938"/>
    <w:rsid w:val="00255712"/>
    <w:rsid w:val="00263AC2"/>
    <w:rsid w:val="00264A8C"/>
    <w:rsid w:val="00265292"/>
    <w:rsid w:val="0027087E"/>
    <w:rsid w:val="0027233A"/>
    <w:rsid w:val="0027372B"/>
    <w:rsid w:val="00277975"/>
    <w:rsid w:val="002844F5"/>
    <w:rsid w:val="00285392"/>
    <w:rsid w:val="00285C5F"/>
    <w:rsid w:val="00291E51"/>
    <w:rsid w:val="00293434"/>
    <w:rsid w:val="00294112"/>
    <w:rsid w:val="002971CD"/>
    <w:rsid w:val="00297419"/>
    <w:rsid w:val="002A4236"/>
    <w:rsid w:val="002A6FB7"/>
    <w:rsid w:val="002A792D"/>
    <w:rsid w:val="002B4E1F"/>
    <w:rsid w:val="002B6986"/>
    <w:rsid w:val="002C2371"/>
    <w:rsid w:val="002E1A67"/>
    <w:rsid w:val="002E1ED8"/>
    <w:rsid w:val="002E3649"/>
    <w:rsid w:val="002E4274"/>
    <w:rsid w:val="002E54DD"/>
    <w:rsid w:val="002E6619"/>
    <w:rsid w:val="002E7DC9"/>
    <w:rsid w:val="002F1CA7"/>
    <w:rsid w:val="00300416"/>
    <w:rsid w:val="00301E1D"/>
    <w:rsid w:val="003067F3"/>
    <w:rsid w:val="003076A2"/>
    <w:rsid w:val="0031453D"/>
    <w:rsid w:val="00314F7D"/>
    <w:rsid w:val="00323DA3"/>
    <w:rsid w:val="00324E99"/>
    <w:rsid w:val="003263A4"/>
    <w:rsid w:val="00327466"/>
    <w:rsid w:val="00331D6D"/>
    <w:rsid w:val="00335DA0"/>
    <w:rsid w:val="003364A9"/>
    <w:rsid w:val="00336D25"/>
    <w:rsid w:val="00343D5A"/>
    <w:rsid w:val="003460AD"/>
    <w:rsid w:val="00350886"/>
    <w:rsid w:val="00350963"/>
    <w:rsid w:val="00350A3D"/>
    <w:rsid w:val="00350C45"/>
    <w:rsid w:val="0035243B"/>
    <w:rsid w:val="0036170B"/>
    <w:rsid w:val="00361FE8"/>
    <w:rsid w:val="00365BE8"/>
    <w:rsid w:val="0037449A"/>
    <w:rsid w:val="00374D23"/>
    <w:rsid w:val="00376045"/>
    <w:rsid w:val="0037691D"/>
    <w:rsid w:val="00376DD3"/>
    <w:rsid w:val="0037753D"/>
    <w:rsid w:val="003779DB"/>
    <w:rsid w:val="00380454"/>
    <w:rsid w:val="0038317E"/>
    <w:rsid w:val="00384A4E"/>
    <w:rsid w:val="00386B19"/>
    <w:rsid w:val="00386E99"/>
    <w:rsid w:val="0039253A"/>
    <w:rsid w:val="00392B52"/>
    <w:rsid w:val="00393DFC"/>
    <w:rsid w:val="00396A4D"/>
    <w:rsid w:val="0039707A"/>
    <w:rsid w:val="003B01F4"/>
    <w:rsid w:val="003B1423"/>
    <w:rsid w:val="003B42A8"/>
    <w:rsid w:val="003C1DFA"/>
    <w:rsid w:val="003C43B1"/>
    <w:rsid w:val="003C727C"/>
    <w:rsid w:val="003D29B3"/>
    <w:rsid w:val="003E2E92"/>
    <w:rsid w:val="003E6149"/>
    <w:rsid w:val="00400776"/>
    <w:rsid w:val="004032E0"/>
    <w:rsid w:val="0040485A"/>
    <w:rsid w:val="00404E67"/>
    <w:rsid w:val="00406D6C"/>
    <w:rsid w:val="004127C7"/>
    <w:rsid w:val="00420943"/>
    <w:rsid w:val="0042584D"/>
    <w:rsid w:val="00426E32"/>
    <w:rsid w:val="00436346"/>
    <w:rsid w:val="0043661F"/>
    <w:rsid w:val="00436AEF"/>
    <w:rsid w:val="00443260"/>
    <w:rsid w:val="00444439"/>
    <w:rsid w:val="00450587"/>
    <w:rsid w:val="0045540F"/>
    <w:rsid w:val="00456F43"/>
    <w:rsid w:val="00463AC7"/>
    <w:rsid w:val="0046696C"/>
    <w:rsid w:val="00472905"/>
    <w:rsid w:val="00473302"/>
    <w:rsid w:val="004742EF"/>
    <w:rsid w:val="004760DD"/>
    <w:rsid w:val="004762AC"/>
    <w:rsid w:val="00477C54"/>
    <w:rsid w:val="00480E52"/>
    <w:rsid w:val="00483CAD"/>
    <w:rsid w:val="004909DC"/>
    <w:rsid w:val="00491DAA"/>
    <w:rsid w:val="004A55C9"/>
    <w:rsid w:val="004B2943"/>
    <w:rsid w:val="004B6F7E"/>
    <w:rsid w:val="004C1926"/>
    <w:rsid w:val="004C219F"/>
    <w:rsid w:val="004D5EA4"/>
    <w:rsid w:val="004E15A7"/>
    <w:rsid w:val="004E77A6"/>
    <w:rsid w:val="004F344A"/>
    <w:rsid w:val="004F53A3"/>
    <w:rsid w:val="004F6D8E"/>
    <w:rsid w:val="00500AA0"/>
    <w:rsid w:val="00502C4F"/>
    <w:rsid w:val="00505F3D"/>
    <w:rsid w:val="005114E4"/>
    <w:rsid w:val="00515BC8"/>
    <w:rsid w:val="005207C9"/>
    <w:rsid w:val="005235F7"/>
    <w:rsid w:val="00526EAF"/>
    <w:rsid w:val="00535347"/>
    <w:rsid w:val="005361F5"/>
    <w:rsid w:val="00537564"/>
    <w:rsid w:val="00537C62"/>
    <w:rsid w:val="0054230C"/>
    <w:rsid w:val="00556029"/>
    <w:rsid w:val="00557545"/>
    <w:rsid w:val="00563953"/>
    <w:rsid w:val="005653B1"/>
    <w:rsid w:val="0056751C"/>
    <w:rsid w:val="00567EA9"/>
    <w:rsid w:val="0057037F"/>
    <w:rsid w:val="00571786"/>
    <w:rsid w:val="0057379F"/>
    <w:rsid w:val="00573F33"/>
    <w:rsid w:val="005767F1"/>
    <w:rsid w:val="005777D4"/>
    <w:rsid w:val="005778ED"/>
    <w:rsid w:val="00577B0B"/>
    <w:rsid w:val="00577DC5"/>
    <w:rsid w:val="00585700"/>
    <w:rsid w:val="005876C0"/>
    <w:rsid w:val="005927B7"/>
    <w:rsid w:val="00592F2B"/>
    <w:rsid w:val="005A06BB"/>
    <w:rsid w:val="005A2B92"/>
    <w:rsid w:val="005A6CF6"/>
    <w:rsid w:val="005A7582"/>
    <w:rsid w:val="005B1688"/>
    <w:rsid w:val="005B699E"/>
    <w:rsid w:val="005B6D0A"/>
    <w:rsid w:val="005C221E"/>
    <w:rsid w:val="005C283C"/>
    <w:rsid w:val="005C2CAB"/>
    <w:rsid w:val="005C3D18"/>
    <w:rsid w:val="005D2678"/>
    <w:rsid w:val="005D4C48"/>
    <w:rsid w:val="005D63EF"/>
    <w:rsid w:val="005D6A6B"/>
    <w:rsid w:val="005E6125"/>
    <w:rsid w:val="005F2CC4"/>
    <w:rsid w:val="005F3337"/>
    <w:rsid w:val="005F4286"/>
    <w:rsid w:val="006032CC"/>
    <w:rsid w:val="00603ABA"/>
    <w:rsid w:val="006048B2"/>
    <w:rsid w:val="00617582"/>
    <w:rsid w:val="00630CCE"/>
    <w:rsid w:val="00633095"/>
    <w:rsid w:val="00637F52"/>
    <w:rsid w:val="006410EE"/>
    <w:rsid w:val="00641DC3"/>
    <w:rsid w:val="00642DAF"/>
    <w:rsid w:val="006443DC"/>
    <w:rsid w:val="00644920"/>
    <w:rsid w:val="00645F1F"/>
    <w:rsid w:val="006462EE"/>
    <w:rsid w:val="006529D0"/>
    <w:rsid w:val="00652CF1"/>
    <w:rsid w:val="006541BA"/>
    <w:rsid w:val="00660909"/>
    <w:rsid w:val="00661186"/>
    <w:rsid w:val="006627CC"/>
    <w:rsid w:val="00665D81"/>
    <w:rsid w:val="006800D3"/>
    <w:rsid w:val="00682EAB"/>
    <w:rsid w:val="00686104"/>
    <w:rsid w:val="006900CD"/>
    <w:rsid w:val="006938CB"/>
    <w:rsid w:val="006951AF"/>
    <w:rsid w:val="00697B17"/>
    <w:rsid w:val="006A0965"/>
    <w:rsid w:val="006A0EB1"/>
    <w:rsid w:val="006B095B"/>
    <w:rsid w:val="006B14DC"/>
    <w:rsid w:val="006B2F34"/>
    <w:rsid w:val="006B3B41"/>
    <w:rsid w:val="006B5F05"/>
    <w:rsid w:val="006C1355"/>
    <w:rsid w:val="006C1835"/>
    <w:rsid w:val="006C5377"/>
    <w:rsid w:val="006D1AB9"/>
    <w:rsid w:val="006D4060"/>
    <w:rsid w:val="006D5825"/>
    <w:rsid w:val="006D6406"/>
    <w:rsid w:val="006E7113"/>
    <w:rsid w:val="006F3AB7"/>
    <w:rsid w:val="006F4E17"/>
    <w:rsid w:val="00700DF4"/>
    <w:rsid w:val="007017A5"/>
    <w:rsid w:val="007026C5"/>
    <w:rsid w:val="00704033"/>
    <w:rsid w:val="007207CF"/>
    <w:rsid w:val="007207E0"/>
    <w:rsid w:val="00723AEB"/>
    <w:rsid w:val="00723F5D"/>
    <w:rsid w:val="00726437"/>
    <w:rsid w:val="00731BFA"/>
    <w:rsid w:val="00731F51"/>
    <w:rsid w:val="007401C3"/>
    <w:rsid w:val="00742190"/>
    <w:rsid w:val="0074668C"/>
    <w:rsid w:val="0074697E"/>
    <w:rsid w:val="0074702F"/>
    <w:rsid w:val="00747BF1"/>
    <w:rsid w:val="007503B8"/>
    <w:rsid w:val="007524CF"/>
    <w:rsid w:val="0075316B"/>
    <w:rsid w:val="00757FD4"/>
    <w:rsid w:val="0076184D"/>
    <w:rsid w:val="00762D59"/>
    <w:rsid w:val="0076442E"/>
    <w:rsid w:val="00765607"/>
    <w:rsid w:val="0077201D"/>
    <w:rsid w:val="0077782F"/>
    <w:rsid w:val="007805B1"/>
    <w:rsid w:val="00781E09"/>
    <w:rsid w:val="00782487"/>
    <w:rsid w:val="0078474D"/>
    <w:rsid w:val="007878C2"/>
    <w:rsid w:val="00792068"/>
    <w:rsid w:val="00792741"/>
    <w:rsid w:val="00792CC4"/>
    <w:rsid w:val="00793792"/>
    <w:rsid w:val="00795E1E"/>
    <w:rsid w:val="007A3DC8"/>
    <w:rsid w:val="007B075A"/>
    <w:rsid w:val="007B160C"/>
    <w:rsid w:val="007C04BB"/>
    <w:rsid w:val="007C06EB"/>
    <w:rsid w:val="007C16CA"/>
    <w:rsid w:val="007C6A92"/>
    <w:rsid w:val="007D7189"/>
    <w:rsid w:val="007E32CD"/>
    <w:rsid w:val="007E427C"/>
    <w:rsid w:val="007E7B35"/>
    <w:rsid w:val="007F553B"/>
    <w:rsid w:val="007F5F3D"/>
    <w:rsid w:val="007F6E68"/>
    <w:rsid w:val="007F7376"/>
    <w:rsid w:val="008039EC"/>
    <w:rsid w:val="00810D26"/>
    <w:rsid w:val="008110EB"/>
    <w:rsid w:val="00811EA2"/>
    <w:rsid w:val="00813783"/>
    <w:rsid w:val="008206AB"/>
    <w:rsid w:val="00821521"/>
    <w:rsid w:val="00830DBD"/>
    <w:rsid w:val="008327A3"/>
    <w:rsid w:val="00837705"/>
    <w:rsid w:val="008443DE"/>
    <w:rsid w:val="0084571B"/>
    <w:rsid w:val="00845B4C"/>
    <w:rsid w:val="00851B2A"/>
    <w:rsid w:val="00854744"/>
    <w:rsid w:val="00854C63"/>
    <w:rsid w:val="00855467"/>
    <w:rsid w:val="0086429B"/>
    <w:rsid w:val="008647C4"/>
    <w:rsid w:val="00873F4A"/>
    <w:rsid w:val="00875780"/>
    <w:rsid w:val="00875C46"/>
    <w:rsid w:val="00880139"/>
    <w:rsid w:val="00883C79"/>
    <w:rsid w:val="00884804"/>
    <w:rsid w:val="0088761F"/>
    <w:rsid w:val="00887E75"/>
    <w:rsid w:val="0089096E"/>
    <w:rsid w:val="0089401D"/>
    <w:rsid w:val="00895AD4"/>
    <w:rsid w:val="008A5E18"/>
    <w:rsid w:val="008A7D40"/>
    <w:rsid w:val="008B0D3D"/>
    <w:rsid w:val="008B1F35"/>
    <w:rsid w:val="008B36B9"/>
    <w:rsid w:val="008B4098"/>
    <w:rsid w:val="008B525A"/>
    <w:rsid w:val="008C0AD0"/>
    <w:rsid w:val="008C0E2C"/>
    <w:rsid w:val="008C7CCC"/>
    <w:rsid w:val="008D4D8C"/>
    <w:rsid w:val="008D6882"/>
    <w:rsid w:val="008E1B6A"/>
    <w:rsid w:val="008E3667"/>
    <w:rsid w:val="008E46C5"/>
    <w:rsid w:val="008E55F4"/>
    <w:rsid w:val="008F1CDA"/>
    <w:rsid w:val="00900919"/>
    <w:rsid w:val="00901E93"/>
    <w:rsid w:val="0090294C"/>
    <w:rsid w:val="0090787A"/>
    <w:rsid w:val="0091007D"/>
    <w:rsid w:val="009226F5"/>
    <w:rsid w:val="00926F10"/>
    <w:rsid w:val="00940DA1"/>
    <w:rsid w:val="0094792D"/>
    <w:rsid w:val="00960670"/>
    <w:rsid w:val="009645D9"/>
    <w:rsid w:val="00967637"/>
    <w:rsid w:val="009745EC"/>
    <w:rsid w:val="00976B6B"/>
    <w:rsid w:val="009773B0"/>
    <w:rsid w:val="00977622"/>
    <w:rsid w:val="0098079C"/>
    <w:rsid w:val="009864AB"/>
    <w:rsid w:val="00990E2E"/>
    <w:rsid w:val="0099186D"/>
    <w:rsid w:val="00991A9D"/>
    <w:rsid w:val="009929D0"/>
    <w:rsid w:val="00995AEB"/>
    <w:rsid w:val="00995B7C"/>
    <w:rsid w:val="009A1CBC"/>
    <w:rsid w:val="009A2FBF"/>
    <w:rsid w:val="009A38B4"/>
    <w:rsid w:val="009A6B9D"/>
    <w:rsid w:val="009B27CE"/>
    <w:rsid w:val="009B2E02"/>
    <w:rsid w:val="009B3E8F"/>
    <w:rsid w:val="009B4D08"/>
    <w:rsid w:val="009B7425"/>
    <w:rsid w:val="009C4DB0"/>
    <w:rsid w:val="009D2668"/>
    <w:rsid w:val="009D5FAD"/>
    <w:rsid w:val="009D7ACE"/>
    <w:rsid w:val="009D7DBE"/>
    <w:rsid w:val="009E296B"/>
    <w:rsid w:val="009E3094"/>
    <w:rsid w:val="009E43E3"/>
    <w:rsid w:val="009E5984"/>
    <w:rsid w:val="009F4A6E"/>
    <w:rsid w:val="009F5E15"/>
    <w:rsid w:val="009F7F5C"/>
    <w:rsid w:val="00A011F0"/>
    <w:rsid w:val="00A0213E"/>
    <w:rsid w:val="00A02548"/>
    <w:rsid w:val="00A030DF"/>
    <w:rsid w:val="00A05FB1"/>
    <w:rsid w:val="00A06329"/>
    <w:rsid w:val="00A0722B"/>
    <w:rsid w:val="00A16F42"/>
    <w:rsid w:val="00A20109"/>
    <w:rsid w:val="00A217DB"/>
    <w:rsid w:val="00A223F8"/>
    <w:rsid w:val="00A30CB4"/>
    <w:rsid w:val="00A316B0"/>
    <w:rsid w:val="00A3594A"/>
    <w:rsid w:val="00A415E5"/>
    <w:rsid w:val="00A44B80"/>
    <w:rsid w:val="00A46BC6"/>
    <w:rsid w:val="00A52245"/>
    <w:rsid w:val="00A524DD"/>
    <w:rsid w:val="00A54056"/>
    <w:rsid w:val="00A65077"/>
    <w:rsid w:val="00A703E5"/>
    <w:rsid w:val="00A72AB6"/>
    <w:rsid w:val="00A73C6E"/>
    <w:rsid w:val="00A75A8A"/>
    <w:rsid w:val="00A76D41"/>
    <w:rsid w:val="00A8070B"/>
    <w:rsid w:val="00A84959"/>
    <w:rsid w:val="00A84C7E"/>
    <w:rsid w:val="00A86509"/>
    <w:rsid w:val="00A96D2B"/>
    <w:rsid w:val="00AA17EA"/>
    <w:rsid w:val="00AA5FCC"/>
    <w:rsid w:val="00AC3632"/>
    <w:rsid w:val="00AC3C16"/>
    <w:rsid w:val="00AC6B65"/>
    <w:rsid w:val="00AD16E6"/>
    <w:rsid w:val="00AD172A"/>
    <w:rsid w:val="00AD3798"/>
    <w:rsid w:val="00AD3A68"/>
    <w:rsid w:val="00AE3822"/>
    <w:rsid w:val="00AE6A1C"/>
    <w:rsid w:val="00B01D29"/>
    <w:rsid w:val="00B0602D"/>
    <w:rsid w:val="00B15C22"/>
    <w:rsid w:val="00B16AA8"/>
    <w:rsid w:val="00B17E23"/>
    <w:rsid w:val="00B22944"/>
    <w:rsid w:val="00B24B3A"/>
    <w:rsid w:val="00B301E5"/>
    <w:rsid w:val="00B30D7F"/>
    <w:rsid w:val="00B37C38"/>
    <w:rsid w:val="00B4061A"/>
    <w:rsid w:val="00B417AE"/>
    <w:rsid w:val="00B50B08"/>
    <w:rsid w:val="00B54E60"/>
    <w:rsid w:val="00B60721"/>
    <w:rsid w:val="00B71313"/>
    <w:rsid w:val="00B7457F"/>
    <w:rsid w:val="00B764BA"/>
    <w:rsid w:val="00B811A2"/>
    <w:rsid w:val="00B8337D"/>
    <w:rsid w:val="00B87A87"/>
    <w:rsid w:val="00B925D8"/>
    <w:rsid w:val="00B9278B"/>
    <w:rsid w:val="00B948DC"/>
    <w:rsid w:val="00BA4570"/>
    <w:rsid w:val="00BA5D23"/>
    <w:rsid w:val="00BA7761"/>
    <w:rsid w:val="00BB42D7"/>
    <w:rsid w:val="00BB4C3A"/>
    <w:rsid w:val="00BB6F1B"/>
    <w:rsid w:val="00BD25E8"/>
    <w:rsid w:val="00BD3CEE"/>
    <w:rsid w:val="00BD518D"/>
    <w:rsid w:val="00BD6C7C"/>
    <w:rsid w:val="00BE0FFC"/>
    <w:rsid w:val="00BE118B"/>
    <w:rsid w:val="00BE22ED"/>
    <w:rsid w:val="00BE240A"/>
    <w:rsid w:val="00BE259F"/>
    <w:rsid w:val="00BF00E8"/>
    <w:rsid w:val="00BF3D01"/>
    <w:rsid w:val="00BF5AE5"/>
    <w:rsid w:val="00C01B48"/>
    <w:rsid w:val="00C02B04"/>
    <w:rsid w:val="00C10094"/>
    <w:rsid w:val="00C10E45"/>
    <w:rsid w:val="00C1150B"/>
    <w:rsid w:val="00C14F81"/>
    <w:rsid w:val="00C15BEE"/>
    <w:rsid w:val="00C217B6"/>
    <w:rsid w:val="00C23EA8"/>
    <w:rsid w:val="00C26C3E"/>
    <w:rsid w:val="00C2729E"/>
    <w:rsid w:val="00C34473"/>
    <w:rsid w:val="00C41424"/>
    <w:rsid w:val="00C431FA"/>
    <w:rsid w:val="00C43D6B"/>
    <w:rsid w:val="00C4556B"/>
    <w:rsid w:val="00C47530"/>
    <w:rsid w:val="00C50E7D"/>
    <w:rsid w:val="00C6531F"/>
    <w:rsid w:val="00C70650"/>
    <w:rsid w:val="00C72A5B"/>
    <w:rsid w:val="00C86C52"/>
    <w:rsid w:val="00C90206"/>
    <w:rsid w:val="00C933E4"/>
    <w:rsid w:val="00C95EA0"/>
    <w:rsid w:val="00C97ABA"/>
    <w:rsid w:val="00CA69B9"/>
    <w:rsid w:val="00CA7210"/>
    <w:rsid w:val="00CB01D3"/>
    <w:rsid w:val="00CB5A94"/>
    <w:rsid w:val="00CC5B31"/>
    <w:rsid w:val="00CC64CD"/>
    <w:rsid w:val="00CD10AA"/>
    <w:rsid w:val="00CD119A"/>
    <w:rsid w:val="00CD1D4D"/>
    <w:rsid w:val="00CD4458"/>
    <w:rsid w:val="00CD4F49"/>
    <w:rsid w:val="00CD6CAB"/>
    <w:rsid w:val="00CD6FB9"/>
    <w:rsid w:val="00CE07A6"/>
    <w:rsid w:val="00CE0EE6"/>
    <w:rsid w:val="00CE1FFB"/>
    <w:rsid w:val="00CE25B1"/>
    <w:rsid w:val="00CE280C"/>
    <w:rsid w:val="00CF0868"/>
    <w:rsid w:val="00CF12C7"/>
    <w:rsid w:val="00CF38E3"/>
    <w:rsid w:val="00CF3A2B"/>
    <w:rsid w:val="00CF4071"/>
    <w:rsid w:val="00CF5370"/>
    <w:rsid w:val="00D00426"/>
    <w:rsid w:val="00D00945"/>
    <w:rsid w:val="00D07220"/>
    <w:rsid w:val="00D118A9"/>
    <w:rsid w:val="00D127B1"/>
    <w:rsid w:val="00D241CF"/>
    <w:rsid w:val="00D26FF7"/>
    <w:rsid w:val="00D3035B"/>
    <w:rsid w:val="00D30525"/>
    <w:rsid w:val="00D30B0A"/>
    <w:rsid w:val="00D31805"/>
    <w:rsid w:val="00D32E02"/>
    <w:rsid w:val="00D33401"/>
    <w:rsid w:val="00D34F06"/>
    <w:rsid w:val="00D3622D"/>
    <w:rsid w:val="00D403D1"/>
    <w:rsid w:val="00D4507D"/>
    <w:rsid w:val="00D4515A"/>
    <w:rsid w:val="00D57658"/>
    <w:rsid w:val="00D61C6F"/>
    <w:rsid w:val="00D63129"/>
    <w:rsid w:val="00D65071"/>
    <w:rsid w:val="00D75F21"/>
    <w:rsid w:val="00D77712"/>
    <w:rsid w:val="00D90989"/>
    <w:rsid w:val="00D943B9"/>
    <w:rsid w:val="00D955CF"/>
    <w:rsid w:val="00DA3681"/>
    <w:rsid w:val="00DA7050"/>
    <w:rsid w:val="00DB1739"/>
    <w:rsid w:val="00DB5934"/>
    <w:rsid w:val="00DC102F"/>
    <w:rsid w:val="00DC1410"/>
    <w:rsid w:val="00DC2E5E"/>
    <w:rsid w:val="00DC5E96"/>
    <w:rsid w:val="00DC6ADD"/>
    <w:rsid w:val="00DC7E4B"/>
    <w:rsid w:val="00DC7F07"/>
    <w:rsid w:val="00DD4E6C"/>
    <w:rsid w:val="00DD7BA1"/>
    <w:rsid w:val="00DF398C"/>
    <w:rsid w:val="00DF7879"/>
    <w:rsid w:val="00DF790F"/>
    <w:rsid w:val="00DF79A3"/>
    <w:rsid w:val="00E01048"/>
    <w:rsid w:val="00E03581"/>
    <w:rsid w:val="00E07151"/>
    <w:rsid w:val="00E1353E"/>
    <w:rsid w:val="00E17804"/>
    <w:rsid w:val="00E25C3E"/>
    <w:rsid w:val="00E34501"/>
    <w:rsid w:val="00E35F5F"/>
    <w:rsid w:val="00E36A0F"/>
    <w:rsid w:val="00E37CC3"/>
    <w:rsid w:val="00E402AB"/>
    <w:rsid w:val="00E40837"/>
    <w:rsid w:val="00E42DBD"/>
    <w:rsid w:val="00E53BBA"/>
    <w:rsid w:val="00E55D52"/>
    <w:rsid w:val="00E5694A"/>
    <w:rsid w:val="00E64460"/>
    <w:rsid w:val="00E666EB"/>
    <w:rsid w:val="00E718AB"/>
    <w:rsid w:val="00E72F08"/>
    <w:rsid w:val="00E76010"/>
    <w:rsid w:val="00E83D08"/>
    <w:rsid w:val="00E90FDE"/>
    <w:rsid w:val="00E934D0"/>
    <w:rsid w:val="00E94045"/>
    <w:rsid w:val="00E94871"/>
    <w:rsid w:val="00EA0F7F"/>
    <w:rsid w:val="00EA2C7A"/>
    <w:rsid w:val="00EA400F"/>
    <w:rsid w:val="00EA71F7"/>
    <w:rsid w:val="00EB0493"/>
    <w:rsid w:val="00EB1D54"/>
    <w:rsid w:val="00EB4565"/>
    <w:rsid w:val="00EB7DF8"/>
    <w:rsid w:val="00EC2FD2"/>
    <w:rsid w:val="00EC3C33"/>
    <w:rsid w:val="00EC442A"/>
    <w:rsid w:val="00EC5355"/>
    <w:rsid w:val="00EC62C3"/>
    <w:rsid w:val="00EC691C"/>
    <w:rsid w:val="00EC765F"/>
    <w:rsid w:val="00ED3642"/>
    <w:rsid w:val="00ED5440"/>
    <w:rsid w:val="00ED6205"/>
    <w:rsid w:val="00EE3BB8"/>
    <w:rsid w:val="00EF008F"/>
    <w:rsid w:val="00EF3052"/>
    <w:rsid w:val="00EF4E69"/>
    <w:rsid w:val="00EF665B"/>
    <w:rsid w:val="00EF7B67"/>
    <w:rsid w:val="00F02D99"/>
    <w:rsid w:val="00F06E8F"/>
    <w:rsid w:val="00F079C9"/>
    <w:rsid w:val="00F07F2E"/>
    <w:rsid w:val="00F120A1"/>
    <w:rsid w:val="00F16BAF"/>
    <w:rsid w:val="00F17729"/>
    <w:rsid w:val="00F216CD"/>
    <w:rsid w:val="00F23819"/>
    <w:rsid w:val="00F26403"/>
    <w:rsid w:val="00F35710"/>
    <w:rsid w:val="00F455CB"/>
    <w:rsid w:val="00F51E43"/>
    <w:rsid w:val="00F53DCB"/>
    <w:rsid w:val="00F56B73"/>
    <w:rsid w:val="00F5768B"/>
    <w:rsid w:val="00F6263C"/>
    <w:rsid w:val="00F642BB"/>
    <w:rsid w:val="00F64A33"/>
    <w:rsid w:val="00F663AB"/>
    <w:rsid w:val="00F702AB"/>
    <w:rsid w:val="00F72316"/>
    <w:rsid w:val="00F75B18"/>
    <w:rsid w:val="00F75D92"/>
    <w:rsid w:val="00F802CE"/>
    <w:rsid w:val="00F81728"/>
    <w:rsid w:val="00F819AB"/>
    <w:rsid w:val="00F836ED"/>
    <w:rsid w:val="00F85145"/>
    <w:rsid w:val="00F95AAB"/>
    <w:rsid w:val="00FA4648"/>
    <w:rsid w:val="00FA6D05"/>
    <w:rsid w:val="00FB2628"/>
    <w:rsid w:val="00FB39E5"/>
    <w:rsid w:val="00FC6FD9"/>
    <w:rsid w:val="00FD097E"/>
    <w:rsid w:val="00FD2268"/>
    <w:rsid w:val="00FD446D"/>
    <w:rsid w:val="00FE1891"/>
    <w:rsid w:val="00FE32C6"/>
    <w:rsid w:val="00FE35F1"/>
    <w:rsid w:val="00FE4774"/>
    <w:rsid w:val="00FF3B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D04FF"/>
  <w15:docId w15:val="{BD614588-9A50-4E0C-AD11-D2A03300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438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6">
    <w:name w:val="heading 6"/>
    <w:basedOn w:val="Normalny"/>
    <w:next w:val="Normalny"/>
    <w:link w:val="Nagwek6Znak"/>
    <w:semiHidden/>
    <w:unhideWhenUsed/>
    <w:qFormat/>
    <w:rsid w:val="00821521"/>
    <w:pPr>
      <w:keepNext/>
      <w:spacing w:after="0" w:line="240" w:lineRule="auto"/>
      <w:jc w:val="right"/>
      <w:outlineLvl w:val="5"/>
    </w:pPr>
    <w:rPr>
      <w:rFonts w:ascii="Arial" w:eastAsia="Times New Roman" w:hAnsi="Arial" w:cs="Times New Roman"/>
      <w:b/>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A42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4236"/>
  </w:style>
  <w:style w:type="paragraph" w:styleId="Stopka">
    <w:name w:val="footer"/>
    <w:basedOn w:val="Normalny"/>
    <w:link w:val="StopkaZnak"/>
    <w:uiPriority w:val="99"/>
    <w:unhideWhenUsed/>
    <w:rsid w:val="002A42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4236"/>
  </w:style>
  <w:style w:type="character" w:styleId="Hipercze">
    <w:name w:val="Hyperlink"/>
    <w:basedOn w:val="Domylnaczcionkaakapitu"/>
    <w:uiPriority w:val="99"/>
    <w:unhideWhenUsed/>
    <w:rsid w:val="002A4236"/>
    <w:rPr>
      <w:color w:val="0563C1" w:themeColor="hyperlink"/>
      <w:u w:val="single"/>
    </w:rPr>
  </w:style>
  <w:style w:type="character" w:customStyle="1" w:styleId="Nagwek6Znak">
    <w:name w:val="Nagłówek 6 Znak"/>
    <w:basedOn w:val="Domylnaczcionkaakapitu"/>
    <w:link w:val="Nagwek6"/>
    <w:semiHidden/>
    <w:rsid w:val="00821521"/>
    <w:rPr>
      <w:rFonts w:ascii="Arial" w:eastAsia="Times New Roman" w:hAnsi="Arial" w:cs="Times New Roman"/>
      <w:b/>
      <w:sz w:val="20"/>
      <w:szCs w:val="20"/>
      <w:lang w:val="x-none" w:eastAsia="x-none"/>
    </w:rPr>
  </w:style>
  <w:style w:type="paragraph" w:customStyle="1" w:styleId="Zwykytekst1">
    <w:name w:val="Zwykły tekst1"/>
    <w:basedOn w:val="Normalny"/>
    <w:rsid w:val="00821521"/>
    <w:pPr>
      <w:suppressAutoHyphens/>
      <w:spacing w:after="0" w:line="240" w:lineRule="auto"/>
    </w:pPr>
    <w:rPr>
      <w:rFonts w:ascii="Courier New" w:eastAsia="Calibri" w:hAnsi="Courier New" w:cs="Courier New"/>
      <w:sz w:val="20"/>
      <w:szCs w:val="20"/>
      <w:lang w:eastAsia="ar-SA"/>
    </w:rPr>
  </w:style>
  <w:style w:type="paragraph" w:styleId="Zwykytekst">
    <w:name w:val="Plain Text"/>
    <w:basedOn w:val="Normalny"/>
    <w:link w:val="ZwykytekstZnak"/>
    <w:unhideWhenUsed/>
    <w:rsid w:val="00830DBD"/>
    <w:pPr>
      <w:spacing w:after="0" w:line="240" w:lineRule="auto"/>
    </w:pPr>
    <w:rPr>
      <w:rFonts w:ascii="Courier New" w:eastAsia="Calibri" w:hAnsi="Courier New" w:cs="Times New Roman"/>
      <w:sz w:val="20"/>
      <w:szCs w:val="20"/>
      <w:lang w:val="x-none" w:eastAsia="pl-PL"/>
    </w:rPr>
  </w:style>
  <w:style w:type="character" w:customStyle="1" w:styleId="ZwykytekstZnak">
    <w:name w:val="Zwykły tekst Znak"/>
    <w:basedOn w:val="Domylnaczcionkaakapitu"/>
    <w:link w:val="Zwykytekst"/>
    <w:rsid w:val="00830DBD"/>
    <w:rPr>
      <w:rFonts w:ascii="Courier New" w:eastAsia="Calibri" w:hAnsi="Courier New" w:cs="Times New Roman"/>
      <w:sz w:val="20"/>
      <w:szCs w:val="20"/>
      <w:lang w:val="x-none" w:eastAsia="pl-PL"/>
    </w:rPr>
  </w:style>
  <w:style w:type="paragraph" w:styleId="Akapitzlist">
    <w:name w:val="List Paragraph"/>
    <w:basedOn w:val="Normalny"/>
    <w:link w:val="AkapitzlistZnak"/>
    <w:uiPriority w:val="34"/>
    <w:qFormat/>
    <w:rsid w:val="00F16BAF"/>
    <w:pPr>
      <w:spacing w:after="0" w:line="240" w:lineRule="auto"/>
      <w:ind w:left="720"/>
      <w:contextualSpacing/>
    </w:pPr>
    <w:rPr>
      <w:rFonts w:ascii="Times New Roman" w:eastAsia="Times New Roman" w:hAnsi="Times New Roman" w:cs="Times New Roman"/>
      <w:sz w:val="24"/>
      <w:szCs w:val="24"/>
      <w:lang w:eastAsia="pl-PL"/>
    </w:rPr>
  </w:style>
  <w:style w:type="paragraph" w:styleId="Bezodstpw">
    <w:name w:val="No Spacing"/>
    <w:uiPriority w:val="1"/>
    <w:qFormat/>
    <w:rsid w:val="00A3594A"/>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3263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63A4"/>
    <w:rPr>
      <w:rFonts w:ascii="Segoe UI" w:hAnsi="Segoe UI" w:cs="Segoe UI"/>
      <w:sz w:val="18"/>
      <w:szCs w:val="18"/>
    </w:rPr>
  </w:style>
  <w:style w:type="character" w:customStyle="1" w:styleId="Nagwek1Znak">
    <w:name w:val="Nagłówek 1 Znak"/>
    <w:basedOn w:val="Domylnaczcionkaakapitu"/>
    <w:link w:val="Nagwek1"/>
    <w:uiPriority w:val="9"/>
    <w:rsid w:val="000438F4"/>
    <w:rPr>
      <w:rFonts w:asciiTheme="majorHAnsi" w:eastAsiaTheme="majorEastAsia" w:hAnsiTheme="majorHAnsi" w:cstheme="majorBidi"/>
      <w:color w:val="2E74B5" w:themeColor="accent1" w:themeShade="BF"/>
      <w:sz w:val="32"/>
      <w:szCs w:val="32"/>
    </w:rPr>
  </w:style>
  <w:style w:type="paragraph" w:customStyle="1" w:styleId="Domylny">
    <w:name w:val="Domyślny"/>
    <w:rsid w:val="008B36B9"/>
    <w:pPr>
      <w:suppressAutoHyphens/>
      <w:spacing w:after="200" w:line="276" w:lineRule="auto"/>
    </w:pPr>
    <w:rPr>
      <w:rFonts w:ascii="Times New Roman" w:eastAsia="Times New Roman" w:hAnsi="Times New Roman" w:cs="Times New Roman"/>
      <w:sz w:val="24"/>
      <w:szCs w:val="24"/>
      <w:lang w:eastAsia="ar-SA"/>
    </w:rPr>
  </w:style>
  <w:style w:type="character" w:customStyle="1" w:styleId="AkapitzlistZnak">
    <w:name w:val="Akapit z listą Znak"/>
    <w:link w:val="Akapitzlist"/>
    <w:uiPriority w:val="34"/>
    <w:locked/>
    <w:rsid w:val="00F23819"/>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661186"/>
    <w:pPr>
      <w:numPr>
        <w:ilvl w:val="1"/>
      </w:numPr>
    </w:pPr>
    <w:rPr>
      <w:rFonts w:ascii="Calibri" w:eastAsia="Times New Roman" w:hAnsi="Calibri" w:cs="Times New Roman"/>
      <w:color w:val="5A5A5A"/>
      <w:spacing w:val="15"/>
    </w:rPr>
  </w:style>
  <w:style w:type="character" w:customStyle="1" w:styleId="PodtytuZnak">
    <w:name w:val="Podtytuł Znak"/>
    <w:basedOn w:val="Domylnaczcionkaakapitu"/>
    <w:link w:val="Podtytu"/>
    <w:uiPriority w:val="11"/>
    <w:rsid w:val="00661186"/>
    <w:rPr>
      <w:rFonts w:ascii="Calibri" w:eastAsia="Times New Roman" w:hAnsi="Calibri" w:cs="Times New Roman"/>
      <w:color w:val="5A5A5A"/>
      <w:spacing w:val="15"/>
    </w:rPr>
  </w:style>
  <w:style w:type="paragraph" w:customStyle="1" w:styleId="Default">
    <w:name w:val="Default"/>
    <w:rsid w:val="00E36A0F"/>
    <w:pPr>
      <w:autoSpaceDE w:val="0"/>
      <w:autoSpaceDN w:val="0"/>
      <w:adjustRightInd w:val="0"/>
      <w:spacing w:after="0" w:line="240" w:lineRule="auto"/>
    </w:pPr>
    <w:rPr>
      <w:rFonts w:ascii="Akrobat" w:hAnsi="Akrobat" w:cs="Akrob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62103">
      <w:bodyDiv w:val="1"/>
      <w:marLeft w:val="0"/>
      <w:marRight w:val="0"/>
      <w:marTop w:val="0"/>
      <w:marBottom w:val="0"/>
      <w:divBdr>
        <w:top w:val="none" w:sz="0" w:space="0" w:color="auto"/>
        <w:left w:val="none" w:sz="0" w:space="0" w:color="auto"/>
        <w:bottom w:val="none" w:sz="0" w:space="0" w:color="auto"/>
        <w:right w:val="none" w:sz="0" w:space="0" w:color="auto"/>
      </w:divBdr>
    </w:div>
    <w:div w:id="444735633">
      <w:bodyDiv w:val="1"/>
      <w:marLeft w:val="0"/>
      <w:marRight w:val="0"/>
      <w:marTop w:val="0"/>
      <w:marBottom w:val="0"/>
      <w:divBdr>
        <w:top w:val="none" w:sz="0" w:space="0" w:color="auto"/>
        <w:left w:val="none" w:sz="0" w:space="0" w:color="auto"/>
        <w:bottom w:val="none" w:sz="0" w:space="0" w:color="auto"/>
        <w:right w:val="none" w:sz="0" w:space="0" w:color="auto"/>
      </w:divBdr>
    </w:div>
    <w:div w:id="1079331894">
      <w:bodyDiv w:val="1"/>
      <w:marLeft w:val="0"/>
      <w:marRight w:val="0"/>
      <w:marTop w:val="0"/>
      <w:marBottom w:val="0"/>
      <w:divBdr>
        <w:top w:val="none" w:sz="0" w:space="0" w:color="auto"/>
        <w:left w:val="none" w:sz="0" w:space="0" w:color="auto"/>
        <w:bottom w:val="none" w:sz="0" w:space="0" w:color="auto"/>
        <w:right w:val="none" w:sz="0" w:space="0" w:color="auto"/>
      </w:divBdr>
    </w:div>
    <w:div w:id="1242180325">
      <w:bodyDiv w:val="1"/>
      <w:marLeft w:val="0"/>
      <w:marRight w:val="0"/>
      <w:marTop w:val="0"/>
      <w:marBottom w:val="0"/>
      <w:divBdr>
        <w:top w:val="none" w:sz="0" w:space="0" w:color="auto"/>
        <w:left w:val="none" w:sz="0" w:space="0" w:color="auto"/>
        <w:bottom w:val="none" w:sz="0" w:space="0" w:color="auto"/>
        <w:right w:val="none" w:sz="0" w:space="0" w:color="auto"/>
      </w:divBdr>
    </w:div>
    <w:div w:id="1279485289">
      <w:bodyDiv w:val="1"/>
      <w:marLeft w:val="0"/>
      <w:marRight w:val="0"/>
      <w:marTop w:val="0"/>
      <w:marBottom w:val="0"/>
      <w:divBdr>
        <w:top w:val="none" w:sz="0" w:space="0" w:color="auto"/>
        <w:left w:val="none" w:sz="0" w:space="0" w:color="auto"/>
        <w:bottom w:val="none" w:sz="0" w:space="0" w:color="auto"/>
        <w:right w:val="none" w:sz="0" w:space="0" w:color="auto"/>
      </w:divBdr>
    </w:div>
    <w:div w:id="1362970539">
      <w:bodyDiv w:val="1"/>
      <w:marLeft w:val="0"/>
      <w:marRight w:val="0"/>
      <w:marTop w:val="0"/>
      <w:marBottom w:val="0"/>
      <w:divBdr>
        <w:top w:val="none" w:sz="0" w:space="0" w:color="auto"/>
        <w:left w:val="none" w:sz="0" w:space="0" w:color="auto"/>
        <w:bottom w:val="none" w:sz="0" w:space="0" w:color="auto"/>
        <w:right w:val="none" w:sz="0" w:space="0" w:color="auto"/>
      </w:divBdr>
    </w:div>
    <w:div w:id="1689018218">
      <w:bodyDiv w:val="1"/>
      <w:marLeft w:val="0"/>
      <w:marRight w:val="0"/>
      <w:marTop w:val="0"/>
      <w:marBottom w:val="0"/>
      <w:divBdr>
        <w:top w:val="none" w:sz="0" w:space="0" w:color="auto"/>
        <w:left w:val="none" w:sz="0" w:space="0" w:color="auto"/>
        <w:bottom w:val="none" w:sz="0" w:space="0" w:color="auto"/>
        <w:right w:val="none" w:sz="0" w:space="0" w:color="auto"/>
      </w:divBdr>
    </w:div>
    <w:div w:id="2040277899">
      <w:bodyDiv w:val="1"/>
      <w:marLeft w:val="0"/>
      <w:marRight w:val="0"/>
      <w:marTop w:val="0"/>
      <w:marBottom w:val="0"/>
      <w:divBdr>
        <w:top w:val="none" w:sz="0" w:space="0" w:color="auto"/>
        <w:left w:val="none" w:sz="0" w:space="0" w:color="auto"/>
        <w:bottom w:val="none" w:sz="0" w:space="0" w:color="auto"/>
        <w:right w:val="none" w:sz="0" w:space="0" w:color="auto"/>
      </w:divBdr>
    </w:div>
    <w:div w:id="2107310918">
      <w:bodyDiv w:val="1"/>
      <w:marLeft w:val="0"/>
      <w:marRight w:val="0"/>
      <w:marTop w:val="0"/>
      <w:marBottom w:val="0"/>
      <w:divBdr>
        <w:top w:val="none" w:sz="0" w:space="0" w:color="auto"/>
        <w:left w:val="none" w:sz="0" w:space="0" w:color="auto"/>
        <w:bottom w:val="none" w:sz="0" w:space="0" w:color="auto"/>
        <w:right w:val="none" w:sz="0" w:space="0" w:color="auto"/>
      </w:divBdr>
    </w:div>
    <w:div w:id="2121759196">
      <w:bodyDiv w:val="1"/>
      <w:marLeft w:val="0"/>
      <w:marRight w:val="0"/>
      <w:marTop w:val="0"/>
      <w:marBottom w:val="0"/>
      <w:divBdr>
        <w:top w:val="none" w:sz="0" w:space="0" w:color="auto"/>
        <w:left w:val="none" w:sz="0" w:space="0" w:color="auto"/>
        <w:bottom w:val="none" w:sz="0" w:space="0" w:color="auto"/>
        <w:right w:val="none" w:sz="0" w:space="0" w:color="auto"/>
      </w:divBdr>
    </w:div>
    <w:div w:id="21411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ebis\AppData\Local\Temp\wz&#243;r%20papieru_str_czb.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wzór papieru_str_czb</Template>
  <TotalTime>84</TotalTime>
  <Pages>3</Pages>
  <Words>754</Words>
  <Characters>4528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załacznik 7 - grupa kapitałowa multimedia kon</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załacznik 7 - grupa kapitałowa multimedia kon</dc:title>
  <dc:creator>a</dc:creator>
  <cp:lastModifiedBy>Agnieszka Gębiś</cp:lastModifiedBy>
  <cp:revision>3</cp:revision>
  <dcterms:created xsi:type="dcterms:W3CDTF">2023-10-09T07:50:00Z</dcterms:created>
  <dcterms:modified xsi:type="dcterms:W3CDTF">2023-10-09T09:17:00Z</dcterms:modified>
</cp:coreProperties>
</file>