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85784" w14:textId="3483ECFA" w:rsidR="00B10A08" w:rsidRPr="008C2DCD" w:rsidRDefault="00B10A08" w:rsidP="008C2DCD">
      <w:pPr>
        <w:pStyle w:val="Standard"/>
        <w:tabs>
          <w:tab w:val="center" w:pos="5256"/>
          <w:tab w:val="right" w:pos="9792"/>
        </w:tabs>
        <w:jc w:val="right"/>
        <w:rPr>
          <w:sz w:val="22"/>
          <w:szCs w:val="22"/>
        </w:rPr>
      </w:pPr>
      <w:r w:rsidRPr="001B12AA">
        <w:rPr>
          <w:i/>
          <w:sz w:val="22"/>
          <w:szCs w:val="22"/>
        </w:rPr>
        <w:t xml:space="preserve">Załącznik Nr 3 </w:t>
      </w:r>
      <w:r w:rsidRPr="001B12AA">
        <w:rPr>
          <w:i/>
          <w:iCs/>
          <w:sz w:val="22"/>
          <w:szCs w:val="22"/>
        </w:rPr>
        <w:t>do SWZ</w:t>
      </w:r>
    </w:p>
    <w:p w14:paraId="1732293D" w14:textId="6BCE7A44" w:rsidR="00B10A08" w:rsidRPr="00EE4174" w:rsidRDefault="00B10A08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EE4174">
        <w:rPr>
          <w:b/>
          <w:sz w:val="22"/>
          <w:szCs w:val="22"/>
          <w:u w:val="single"/>
        </w:rPr>
        <w:t>Oświadczenie Wykonawcy</w:t>
      </w:r>
      <w:r w:rsidR="00631F3A" w:rsidRPr="00EE4174">
        <w:rPr>
          <w:b/>
          <w:sz w:val="22"/>
          <w:szCs w:val="22"/>
          <w:u w:val="single"/>
        </w:rPr>
        <w:t xml:space="preserve"> </w:t>
      </w:r>
      <w:r w:rsidR="00EE4174" w:rsidRPr="00EE4174">
        <w:rPr>
          <w:b/>
          <w:sz w:val="22"/>
          <w:szCs w:val="22"/>
          <w:u w:val="single"/>
        </w:rPr>
        <w:t>/</w:t>
      </w:r>
      <w:r w:rsidR="00EE4174" w:rsidRPr="00EE4174">
        <w:rPr>
          <w:rFonts w:eastAsia="SimSun"/>
          <w:b/>
          <w:sz w:val="22"/>
          <w:szCs w:val="22"/>
          <w:u w:val="single"/>
        </w:rPr>
        <w:t xml:space="preserve"> </w:t>
      </w:r>
      <w:r w:rsidR="00EE4174">
        <w:rPr>
          <w:rFonts w:eastAsia="SimSun"/>
          <w:b/>
          <w:sz w:val="22"/>
          <w:szCs w:val="22"/>
          <w:u w:val="single"/>
        </w:rPr>
        <w:t>Oświadczenie P</w:t>
      </w:r>
      <w:r w:rsidR="00EE4174" w:rsidRPr="00EE4174">
        <w:rPr>
          <w:rFonts w:eastAsia="SimSun"/>
          <w:b/>
          <w:sz w:val="22"/>
          <w:szCs w:val="22"/>
          <w:u w:val="single"/>
        </w:rPr>
        <w:t>odmiotu</w:t>
      </w:r>
      <w:r w:rsidR="00EE4174">
        <w:rPr>
          <w:rFonts w:eastAsia="SimSun"/>
          <w:b/>
          <w:sz w:val="22"/>
          <w:szCs w:val="22"/>
          <w:u w:val="single"/>
        </w:rPr>
        <w:t xml:space="preserve"> udostepniającego zasoby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19DAD535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EE4174">
        <w:rPr>
          <w:b/>
          <w:sz w:val="22"/>
          <w:szCs w:val="22"/>
        </w:rPr>
        <w:t xml:space="preserve">125 </w:t>
      </w:r>
      <w:r w:rsidRPr="001B12AA">
        <w:rPr>
          <w:b/>
          <w:sz w:val="22"/>
          <w:szCs w:val="22"/>
        </w:rPr>
        <w:t xml:space="preserve">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2CAE9113" w14:textId="77777777" w:rsidR="001012F4" w:rsidRDefault="00B10A08" w:rsidP="00AC6995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  <w:r w:rsidRPr="008C2DCD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8C2DC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D3988D8" w14:textId="242DAE35" w:rsidR="00EE4174" w:rsidRPr="008C2DCD" w:rsidRDefault="001012F4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1012F4">
        <w:rPr>
          <w:rFonts w:ascii="Times New Roman" w:hAnsi="Times New Roman" w:cs="Times New Roman"/>
          <w:b/>
          <w:sz w:val="22"/>
          <w:szCs w:val="22"/>
        </w:rPr>
        <w:t>Utrzymanie zieleni drogowej w pasach dróg powiatowych w tym</w:t>
      </w:r>
      <w:r w:rsidRPr="001012F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012F4">
        <w:rPr>
          <w:rFonts w:ascii="Times New Roman" w:hAnsi="Times New Roman" w:cs="Times New Roman"/>
          <w:b/>
          <w:sz w:val="22"/>
          <w:szCs w:val="22"/>
        </w:rPr>
        <w:t>konserwacja i  utrzymanie drzewostanu</w:t>
      </w:r>
      <w:r w:rsidR="00EE4174">
        <w:rPr>
          <w:rFonts w:ascii="Times New Roman" w:hAnsi="Times New Roman" w:cs="Times New Roman"/>
          <w:b/>
        </w:rPr>
        <w:t>,</w:t>
      </w:r>
      <w:r w:rsidR="004219C6" w:rsidRPr="008C2DCD">
        <w:rPr>
          <w:rStyle w:val="StandardZnak"/>
          <w:rFonts w:eastAsia="SimSun"/>
          <w:sz w:val="22"/>
          <w:szCs w:val="22"/>
        </w:rPr>
        <w:t xml:space="preserve"> </w:t>
      </w:r>
      <w:r w:rsidR="00B10A08" w:rsidRPr="008C2DCD">
        <w:rPr>
          <w:rStyle w:val="StandardZnak"/>
          <w:rFonts w:eastAsia="SimSun"/>
          <w:sz w:val="22"/>
          <w:szCs w:val="22"/>
        </w:rPr>
        <w:t>oświadczam, co następuje:</w:t>
      </w:r>
      <w:bookmarkStart w:id="0" w:name="_GoBack"/>
      <w:bookmarkEnd w:id="0"/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</w:t>
      </w:r>
      <w:r w:rsidRPr="008C2DCD">
        <w:rPr>
          <w:sz w:val="20"/>
          <w:szCs w:val="20"/>
        </w:rPr>
        <w:lastRenderedPageBreak/>
        <w:t>konkurencji i konsumentów, złożyli odrębne oferty, oferty częściowe lub wnioski o dopuszczenie 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764A7E3B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DFF7447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pracy:</w:t>
      </w:r>
    </w:p>
    <w:p w14:paraId="4C1CB351" w14:textId="349D128A" w:rsidR="007D1294" w:rsidRPr="008C2DCD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będącego osobą fizyczną skazanego prawomocnie za przestępstwo przeciwko środowisku, o którym mowa w rozdziale XXII </w:t>
      </w:r>
      <w:hyperlink r:id="rId21" w:anchor="/document/16798683?cm=DOCUMENT" w:history="1">
        <w:r w:rsidRPr="008C2DCD">
          <w:rPr>
            <w:sz w:val="20"/>
            <w:szCs w:val="20"/>
            <w:u w:val="single"/>
          </w:rPr>
          <w:t>Kodeksu karnego</w:t>
        </w:r>
      </w:hyperlink>
      <w:r w:rsidRPr="008C2DCD">
        <w:rPr>
          <w:sz w:val="20"/>
          <w:szCs w:val="20"/>
        </w:rPr>
        <w:t xml:space="preserve"> lub za przestępstwo przeciwko prawom osób wykonujących pracę zarobkową, o którym mowa w rozdziale XXVIII </w:t>
      </w:r>
      <w:hyperlink r:id="rId22" w:anchor="/document/16798683?cm=DOCUMENT" w:history="1">
        <w:r w:rsidRPr="008C2DCD">
          <w:rPr>
            <w:sz w:val="20"/>
            <w:szCs w:val="20"/>
            <w:u w:val="single"/>
          </w:rPr>
          <w:t>Kodeksu karnego</w:t>
        </w:r>
      </w:hyperlink>
      <w:r w:rsidRPr="008C2DCD">
        <w:rPr>
          <w:sz w:val="20"/>
          <w:szCs w:val="20"/>
        </w:rPr>
        <w:t>, lub za odpowiedni czyn zabroniony określony w przepisach prawa obcego,</w:t>
      </w:r>
    </w:p>
    <w:p w14:paraId="0417F715" w14:textId="77777777" w:rsidR="007D1294" w:rsidRPr="008C2DCD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66E8D23" w14:textId="77777777" w:rsidR="007D1294" w:rsidRPr="008C2DCD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3" w:anchor="/document/16901353?cm=DOCUMENT" w:history="1">
        <w:r w:rsidRPr="008C2DCD">
          <w:rPr>
            <w:sz w:val="20"/>
            <w:szCs w:val="20"/>
            <w:u w:val="single"/>
          </w:rPr>
          <w:t>prawa ochrony środowiska</w:t>
        </w:r>
      </w:hyperlink>
      <w:r w:rsidRPr="008C2DCD">
        <w:rPr>
          <w:sz w:val="20"/>
          <w:szCs w:val="20"/>
        </w:rPr>
        <w:t>, prawa pracy lub przepisów o zabezpieczeniu społecznym, jeżeli wymierzono tą decyzją karę pieniężną;</w:t>
      </w:r>
    </w:p>
    <w:p w14:paraId="7A294D81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5304F4B3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</w:t>
      </w:r>
      <w:r w:rsidRPr="008C2DCD">
        <w:rPr>
          <w:i/>
          <w:sz w:val="20"/>
          <w:szCs w:val="20"/>
        </w:rPr>
        <w:br/>
        <w:t xml:space="preserve">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088C1EC0" w14:textId="6B3570C5" w:rsidR="00701843" w:rsidRPr="00EE4174" w:rsidRDefault="00B10A08" w:rsidP="005D3A75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2B0F6833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36BAA41" w14:textId="5343B7C2" w:rsidR="00B10A08" w:rsidRPr="00EE4174" w:rsidRDefault="00B10A08" w:rsidP="00EE4174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</w:t>
      </w:r>
      <w:r w:rsidR="00EE4174">
        <w:rPr>
          <w:sz w:val="20"/>
          <w:szCs w:val="20"/>
        </w:rPr>
        <w:t xml:space="preserve"> przy przedstawianiu informacji.</w:t>
      </w:r>
    </w:p>
    <w:p w14:paraId="6B5120B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176A6" w14:textId="77777777" w:rsidR="00514ACE" w:rsidRDefault="00514ACE" w:rsidP="00D45F78">
      <w:r>
        <w:separator/>
      </w:r>
    </w:p>
  </w:endnote>
  <w:endnote w:type="continuationSeparator" w:id="0">
    <w:p w14:paraId="523A7838" w14:textId="77777777" w:rsidR="00514ACE" w:rsidRDefault="00514ACE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AEDF" w14:textId="77777777" w:rsidR="00514ACE" w:rsidRDefault="00514ACE" w:rsidP="00D45F78">
      <w:r>
        <w:separator/>
      </w:r>
    </w:p>
  </w:footnote>
  <w:footnote w:type="continuationSeparator" w:id="0">
    <w:p w14:paraId="1C4B74A2" w14:textId="77777777" w:rsidR="00514ACE" w:rsidRDefault="00514ACE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7148" w14:textId="42A41B0D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1012F4">
      <w:rPr>
        <w:rFonts w:ascii="Times New Roman" w:hAnsi="Times New Roman" w:cs="Times New Roman"/>
        <w:b/>
        <w:bCs/>
        <w:sz w:val="22"/>
        <w:szCs w:val="22"/>
      </w:rPr>
      <w:t>18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34ECAC42"/>
    <w:lvl w:ilvl="0" w:tplc="FDEAAAB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6106BC7A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012F4"/>
    <w:rsid w:val="001B12AA"/>
    <w:rsid w:val="001D3F5C"/>
    <w:rsid w:val="002227E7"/>
    <w:rsid w:val="00226ADB"/>
    <w:rsid w:val="002E321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14ACE"/>
    <w:rsid w:val="005D3A75"/>
    <w:rsid w:val="006270C7"/>
    <w:rsid w:val="00631F3A"/>
    <w:rsid w:val="00652712"/>
    <w:rsid w:val="006A7916"/>
    <w:rsid w:val="006E4B9A"/>
    <w:rsid w:val="00701843"/>
    <w:rsid w:val="00734B37"/>
    <w:rsid w:val="00767915"/>
    <w:rsid w:val="007B2C75"/>
    <w:rsid w:val="007D1254"/>
    <w:rsid w:val="007D1294"/>
    <w:rsid w:val="008062C1"/>
    <w:rsid w:val="00864A3A"/>
    <w:rsid w:val="00882D1C"/>
    <w:rsid w:val="008C1AB9"/>
    <w:rsid w:val="008C2DCD"/>
    <w:rsid w:val="009C0904"/>
    <w:rsid w:val="00A950A5"/>
    <w:rsid w:val="00AC6995"/>
    <w:rsid w:val="00B10A08"/>
    <w:rsid w:val="00BE18BC"/>
    <w:rsid w:val="00CE7B5B"/>
    <w:rsid w:val="00D32690"/>
    <w:rsid w:val="00D45F78"/>
    <w:rsid w:val="00D7470E"/>
    <w:rsid w:val="00DD2E31"/>
    <w:rsid w:val="00E564FF"/>
    <w:rsid w:val="00EE4174"/>
    <w:rsid w:val="00EF73BF"/>
    <w:rsid w:val="00F17E5C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23</cp:revision>
  <cp:lastPrinted>2021-06-16T09:18:00Z</cp:lastPrinted>
  <dcterms:created xsi:type="dcterms:W3CDTF">2020-10-06T09:04:00Z</dcterms:created>
  <dcterms:modified xsi:type="dcterms:W3CDTF">2021-06-16T09:19:00Z</dcterms:modified>
</cp:coreProperties>
</file>