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1ABC3603" w14:textId="77777777" w:rsidR="003E7BE3" w:rsidRPr="00365CAC" w:rsidRDefault="003E7BE3" w:rsidP="003E7BE3">
      <w:pPr>
        <w:spacing w:before="120" w:after="120" w:line="240" w:lineRule="auto"/>
        <w:jc w:val="center"/>
        <w:rPr>
          <w:b/>
          <w:bCs/>
        </w:rPr>
      </w:pPr>
      <w:bookmarkStart w:id="0" w:name="_Hlk163035976"/>
      <w:r w:rsidRPr="00365CAC">
        <w:rPr>
          <w:rFonts w:asciiTheme="majorHAnsi" w:eastAsia="Calibri" w:hAnsiTheme="majorHAnsi" w:cs="Roboto Lt"/>
          <w:b/>
          <w:bCs/>
          <w:i/>
          <w:color w:val="auto"/>
          <w:spacing w:val="0"/>
          <w:szCs w:val="20"/>
          <w:lang w:eastAsia="pl-PL"/>
        </w:rPr>
        <w:t>„Dostawa drobnego sprzętu laboratoryjnego z podziałem na 9 części na potrzeby Laboratorium BSL-3”</w:t>
      </w:r>
    </w:p>
    <w:bookmarkEnd w:id="0"/>
    <w:p w14:paraId="2ADB77E1" w14:textId="15244B6C" w:rsidR="006F7122" w:rsidRPr="009823C3" w:rsidRDefault="00114489" w:rsidP="00B362A2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133A62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 w:rsidR="003E7BE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22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A29B74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C92727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72AC" w14:textId="77777777" w:rsidR="00C92727" w:rsidRDefault="00C92727" w:rsidP="006747BD">
      <w:pPr>
        <w:spacing w:after="0" w:line="240" w:lineRule="auto"/>
      </w:pPr>
      <w:r>
        <w:separator/>
      </w:r>
    </w:p>
  </w:endnote>
  <w:endnote w:type="continuationSeparator" w:id="0">
    <w:p w14:paraId="6A36274C" w14:textId="77777777" w:rsidR="00C92727" w:rsidRDefault="00C9272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3DA3DC72" w:rsidR="00275F5B" w:rsidRDefault="00275F5B">
            <w:pPr>
              <w:pStyle w:val="Stopka"/>
            </w:pPr>
          </w:p>
          <w:p w14:paraId="1D50ED0A" w14:textId="3C9A8A62" w:rsidR="00D40690" w:rsidRDefault="00DD6B11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E3BEDE6" wp14:editId="4EEEC313">
                  <wp:simplePos x="0" y="0"/>
                  <wp:positionH relativeFrom="column">
                    <wp:posOffset>-1619250</wp:posOffset>
                  </wp:positionH>
                  <wp:positionV relativeFrom="paragraph">
                    <wp:posOffset>306070</wp:posOffset>
                  </wp:positionV>
                  <wp:extent cx="1525270" cy="542925"/>
                  <wp:effectExtent l="0" t="0" r="0" b="9525"/>
                  <wp:wrapSquare wrapText="bothSides"/>
                  <wp:docPr id="204651983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7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9152E34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49CA665F">
              <wp:simplePos x="0" y="0"/>
              <wp:positionH relativeFrom="margin">
                <wp:posOffset>317500</wp:posOffset>
              </wp:positionH>
              <wp:positionV relativeFrom="page">
                <wp:posOffset>9850755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pt;margin-top:775.6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179470B7" w:rsidR="00275F5B" w:rsidRDefault="00275F5B" w:rsidP="00D40690">
            <w:pPr>
              <w:pStyle w:val="Stopka"/>
            </w:pP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6D940" w14:textId="77777777" w:rsidR="00C92727" w:rsidRDefault="00C92727" w:rsidP="006747BD">
      <w:pPr>
        <w:spacing w:after="0" w:line="240" w:lineRule="auto"/>
      </w:pPr>
      <w:r>
        <w:separator/>
      </w:r>
    </w:p>
  </w:footnote>
  <w:footnote w:type="continuationSeparator" w:id="0">
    <w:p w14:paraId="4524F029" w14:textId="77777777" w:rsidR="00C92727" w:rsidRDefault="00C9272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3A62"/>
    <w:rsid w:val="00134929"/>
    <w:rsid w:val="001A0BD2"/>
    <w:rsid w:val="001C6A08"/>
    <w:rsid w:val="002239DF"/>
    <w:rsid w:val="00231524"/>
    <w:rsid w:val="00274A7A"/>
    <w:rsid w:val="00275F5B"/>
    <w:rsid w:val="002833EA"/>
    <w:rsid w:val="002B6308"/>
    <w:rsid w:val="002D48BE"/>
    <w:rsid w:val="002F4540"/>
    <w:rsid w:val="00313D0D"/>
    <w:rsid w:val="00335F9F"/>
    <w:rsid w:val="00346C00"/>
    <w:rsid w:val="00354A18"/>
    <w:rsid w:val="0039324B"/>
    <w:rsid w:val="003D7E68"/>
    <w:rsid w:val="003E7BE3"/>
    <w:rsid w:val="003F4BA3"/>
    <w:rsid w:val="004D7934"/>
    <w:rsid w:val="004F5805"/>
    <w:rsid w:val="00526CDD"/>
    <w:rsid w:val="00546A52"/>
    <w:rsid w:val="00565073"/>
    <w:rsid w:val="005D102F"/>
    <w:rsid w:val="005D1495"/>
    <w:rsid w:val="005D44D8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261F9"/>
    <w:rsid w:val="00A36F46"/>
    <w:rsid w:val="00A4666C"/>
    <w:rsid w:val="00A52C29"/>
    <w:rsid w:val="00A90F6A"/>
    <w:rsid w:val="00B362A2"/>
    <w:rsid w:val="00B52770"/>
    <w:rsid w:val="00B61F8A"/>
    <w:rsid w:val="00B67428"/>
    <w:rsid w:val="00B74CE7"/>
    <w:rsid w:val="00B80152"/>
    <w:rsid w:val="00C02DAD"/>
    <w:rsid w:val="00C0779C"/>
    <w:rsid w:val="00C736D5"/>
    <w:rsid w:val="00C92727"/>
    <w:rsid w:val="00CB1623"/>
    <w:rsid w:val="00CD5293"/>
    <w:rsid w:val="00D005B3"/>
    <w:rsid w:val="00D06D36"/>
    <w:rsid w:val="00D40690"/>
    <w:rsid w:val="00D44AEC"/>
    <w:rsid w:val="00D77BF0"/>
    <w:rsid w:val="00DA1D01"/>
    <w:rsid w:val="00DA52A1"/>
    <w:rsid w:val="00DD6B11"/>
    <w:rsid w:val="00DE50EB"/>
    <w:rsid w:val="00DF74AF"/>
    <w:rsid w:val="00E11996"/>
    <w:rsid w:val="00E525D9"/>
    <w:rsid w:val="00E657C2"/>
    <w:rsid w:val="00E910E4"/>
    <w:rsid w:val="00EA2645"/>
    <w:rsid w:val="00EB7CCA"/>
    <w:rsid w:val="00ED51D0"/>
    <w:rsid w:val="00ED7349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2024-02-20T09:39:00Z</dcterms:created>
  <dcterms:modified xsi:type="dcterms:W3CDTF">2024-04-03T09:32:00Z</dcterms:modified>
  <cp:contentStatus/>
</cp:coreProperties>
</file>