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C6B" w14:textId="17699748" w:rsidR="006A593D" w:rsidRPr="00D72F2D" w:rsidRDefault="006A593D" w:rsidP="001F55B4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Łódź dnia </w:t>
      </w:r>
      <w:r w:rsidR="00C433B8">
        <w:rPr>
          <w:rFonts w:asciiTheme="minorHAnsi" w:hAnsiTheme="minorHAnsi" w:cstheme="minorHAnsi"/>
          <w:b/>
          <w:sz w:val="22"/>
        </w:rPr>
        <w:t>03</w:t>
      </w:r>
      <w:r w:rsidRPr="00D72F2D">
        <w:rPr>
          <w:rFonts w:asciiTheme="minorHAnsi" w:hAnsiTheme="minorHAnsi" w:cstheme="minorHAnsi"/>
          <w:b/>
          <w:sz w:val="22"/>
        </w:rPr>
        <w:t>.</w:t>
      </w:r>
      <w:r w:rsidR="00C433B8">
        <w:rPr>
          <w:rFonts w:asciiTheme="minorHAnsi" w:hAnsiTheme="minorHAnsi" w:cstheme="minorHAnsi"/>
          <w:b/>
          <w:sz w:val="22"/>
        </w:rPr>
        <w:t>01</w:t>
      </w:r>
      <w:r w:rsidRPr="00D72F2D">
        <w:rPr>
          <w:rFonts w:asciiTheme="minorHAnsi" w:hAnsiTheme="minorHAnsi" w:cstheme="minorHAnsi"/>
          <w:b/>
          <w:sz w:val="22"/>
        </w:rPr>
        <w:t>.202</w:t>
      </w:r>
      <w:r w:rsidR="00C433B8">
        <w:rPr>
          <w:rFonts w:asciiTheme="minorHAnsi" w:hAnsiTheme="minorHAnsi" w:cstheme="minorHAnsi"/>
          <w:b/>
          <w:sz w:val="22"/>
        </w:rPr>
        <w:t>2</w:t>
      </w:r>
      <w:r w:rsidRPr="00D72F2D">
        <w:rPr>
          <w:rFonts w:asciiTheme="minorHAnsi" w:hAnsiTheme="minorHAnsi" w:cstheme="minorHAnsi"/>
          <w:b/>
          <w:sz w:val="22"/>
        </w:rPr>
        <w:t xml:space="preserve"> r.</w:t>
      </w:r>
    </w:p>
    <w:p w14:paraId="5A1B3884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15747B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EA8178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AF8F44F" w14:textId="77777777" w:rsidR="00132DAA" w:rsidRDefault="00132DAA" w:rsidP="00132DAA">
      <w:pPr>
        <w:ind w:left="4956"/>
        <w:rPr>
          <w:rFonts w:asciiTheme="minorHAnsi" w:eastAsia="Times New Roman" w:hAnsiTheme="minorHAnsi" w:cstheme="minorHAnsi"/>
          <w:b/>
          <w:color w:val="auto"/>
          <w:spacing w:val="0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 wszystkich Uczestników postępowania </w:t>
      </w:r>
    </w:p>
    <w:p w14:paraId="3BC16CBE" w14:textId="77777777" w:rsidR="00132DAA" w:rsidRDefault="00132DAA" w:rsidP="00132DAA">
      <w:pPr>
        <w:ind w:left="495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Znak sprawy: 19/2021</w:t>
      </w:r>
    </w:p>
    <w:p w14:paraId="06757A30" w14:textId="77777777" w:rsidR="00132DAA" w:rsidRDefault="00132DAA" w:rsidP="00132DAA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89DF31B" w14:textId="77777777" w:rsidR="00D72F2D" w:rsidRPr="00D72F2D" w:rsidRDefault="00D72F2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452B4CA" w14:textId="77777777" w:rsidR="00132DAA" w:rsidRDefault="00132DAA" w:rsidP="00132DAA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Dotyczy: </w:t>
      </w:r>
      <w:r>
        <w:rPr>
          <w:rFonts w:asciiTheme="minorHAnsi" w:hAnsiTheme="minorHAnsi" w:cstheme="minorHAnsi"/>
          <w:bCs/>
          <w:sz w:val="22"/>
        </w:rPr>
        <w:t xml:space="preserve">Postępowania o udzielenie zamówienia publicznego na usługę ubezpieczenia </w:t>
      </w:r>
      <w:r w:rsidRPr="00F638C9">
        <w:rPr>
          <w:rFonts w:asciiTheme="minorHAnsi" w:hAnsiTheme="minorHAnsi" w:cstheme="minorHAnsi"/>
          <w:bCs/>
          <w:snapToGrid w:val="0"/>
          <w:color w:val="262626"/>
          <w:sz w:val="22"/>
        </w:rPr>
        <w:t>SP ZOZ SZPITALA POWIATOWEGO IM. EDMUNDA BIERNACKIEGO W OPOCZNIE (2 CZĘŚCI)</w:t>
      </w:r>
      <w:r>
        <w:rPr>
          <w:rFonts w:asciiTheme="minorHAnsi" w:hAnsiTheme="minorHAnsi" w:cstheme="minorHAnsi"/>
          <w:bCs/>
          <w:snapToGrid w:val="0"/>
          <w:color w:val="262626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prowadzonego zgodnie z ustawą z dnia 11 września 2019 r. Prawo zamówień publicznych (Dz. U. z 2021 poz. 1129 ze zm.), w trybie przetargu podstawowym, o którym stanowi art. 275 ust. 1 ustawy PZP, o wartości zamówienia nieprzekraczającej progów unijnych, o których mowa w art. 3 ustawy PZP.</w:t>
      </w:r>
    </w:p>
    <w:p w14:paraId="13EE64CE" w14:textId="77777777" w:rsidR="00132DAA" w:rsidRDefault="00132DAA" w:rsidP="00132DAA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712BDBF6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AA26DC5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69E5B0F" w14:textId="64B21F58" w:rsidR="00E1207C" w:rsidRPr="00D72F2D" w:rsidRDefault="006A593D" w:rsidP="00F37247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W odpowiedzi na pytania Wykonawców biorących udział w w/w postępowaniu, dotyczące wyjaśnienia treści Specyfikacji Warunków Zamówienia, działając w oparciu o art. 286 ust. 1 ustawy z 11.09.2019 r. – Prawo zamówień publicznych (</w:t>
      </w:r>
      <w:proofErr w:type="spellStart"/>
      <w:r w:rsidRPr="00D72F2D">
        <w:rPr>
          <w:rFonts w:asciiTheme="minorHAnsi" w:hAnsiTheme="minorHAnsi" w:cstheme="minorHAnsi"/>
          <w:b/>
          <w:sz w:val="22"/>
        </w:rPr>
        <w:t>t.j</w:t>
      </w:r>
      <w:proofErr w:type="spellEnd"/>
      <w:r w:rsidRPr="00D72F2D">
        <w:rPr>
          <w:rFonts w:asciiTheme="minorHAnsi" w:hAnsiTheme="minorHAnsi" w:cstheme="minorHAnsi"/>
          <w:b/>
          <w:sz w:val="22"/>
        </w:rPr>
        <w:t xml:space="preserve">. Dz. U. z 2021 r. poz. 1129 ze zm.) – zwaną dalej ustawą PZP, </w:t>
      </w:r>
      <w:r w:rsidR="00E1207C" w:rsidRPr="00D72F2D">
        <w:rPr>
          <w:rFonts w:asciiTheme="minorHAnsi" w:hAnsiTheme="minorHAnsi" w:cstheme="minorHAnsi"/>
          <w:b/>
          <w:sz w:val="22"/>
        </w:rPr>
        <w:t>Zamawiający udzielił odpowiedzi i przekazał je wszystkim Wykonawcom, którzy zawnioskowali o udostępnienie części poufnej.</w:t>
      </w:r>
    </w:p>
    <w:p w14:paraId="226C11A3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0711ED9E" w14:textId="77777777" w:rsidR="00C433B8" w:rsidRDefault="00C433B8" w:rsidP="00C433B8">
      <w:pPr>
        <w:ind w:firstLine="425"/>
        <w:jc w:val="center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SPROSTOWANIE</w:t>
      </w:r>
    </w:p>
    <w:p w14:paraId="55D56A4A" w14:textId="77777777" w:rsidR="00C433B8" w:rsidRDefault="00C433B8" w:rsidP="00C433B8">
      <w:pPr>
        <w:ind w:firstLine="425"/>
        <w:rPr>
          <w:rFonts w:ascii="Calibri" w:hAnsi="Calibri" w:cs="Calibri"/>
          <w:b/>
          <w:bCs/>
          <w:color w:val="FF0000"/>
          <w:sz w:val="22"/>
        </w:rPr>
      </w:pPr>
      <w:r>
        <w:rPr>
          <w:rFonts w:ascii="Calibri" w:hAnsi="Calibri" w:cs="Calibri"/>
          <w:b/>
          <w:bCs/>
          <w:color w:val="FF0000"/>
          <w:sz w:val="22"/>
        </w:rPr>
        <w:t>Dodatkowo Zamawiający informuje, że wprowadza w SWZ następujące zmiany:</w:t>
      </w:r>
    </w:p>
    <w:p w14:paraId="775B72F2" w14:textId="77777777" w:rsidR="00C433B8" w:rsidRDefault="00C433B8" w:rsidP="00C433B8">
      <w:pPr>
        <w:ind w:firstLine="425"/>
      </w:pPr>
      <w:r>
        <w:rPr>
          <w:rFonts w:ascii="Calibri" w:hAnsi="Calibri" w:cs="Calibri"/>
          <w:b/>
          <w:i/>
          <w:iCs/>
          <w:color w:val="FF0000"/>
          <w:sz w:val="22"/>
        </w:rPr>
        <w:t>Załącznik Nr 4a do SWZ – Formularz ofertowy dla Części 1</w:t>
      </w:r>
    </w:p>
    <w:p w14:paraId="0A55947F" w14:textId="77777777" w:rsidR="00C433B8" w:rsidRDefault="00C433B8" w:rsidP="00C433B8">
      <w:pPr>
        <w:ind w:firstLine="425"/>
        <w:rPr>
          <w:rFonts w:ascii="Calibri" w:hAnsi="Calibri" w:cs="Calibri"/>
          <w:b/>
          <w:bCs/>
          <w:color w:val="000000"/>
          <w:sz w:val="22"/>
        </w:rPr>
      </w:pPr>
      <w:bookmarkStart w:id="0" w:name="_Hlk88732692"/>
    </w:p>
    <w:p w14:paraId="102E72E1" w14:textId="77777777" w:rsidR="00C433B8" w:rsidRDefault="00C433B8" w:rsidP="00C433B8">
      <w:pPr>
        <w:shd w:val="clear" w:color="auto" w:fill="808080"/>
        <w:spacing w:line="276" w:lineRule="auto"/>
        <w:jc w:val="center"/>
        <w:rPr>
          <w:rFonts w:ascii="Calibri" w:hAnsi="Calibri" w:cs="Calibri"/>
          <w:b/>
          <w:color w:val="FFFFFF"/>
          <w:sz w:val="22"/>
        </w:rPr>
      </w:pPr>
      <w:r>
        <w:rPr>
          <w:rFonts w:ascii="Calibri" w:hAnsi="Calibri" w:cs="Calibri"/>
          <w:b/>
          <w:color w:val="FFFFFF"/>
          <w:sz w:val="22"/>
        </w:rPr>
        <w:t>B1. Ubezpieczenie mienia od wszystkich ryzyk</w:t>
      </w:r>
    </w:p>
    <w:p w14:paraId="60F9D1B1" w14:textId="77777777" w:rsidR="00C433B8" w:rsidRDefault="00C433B8" w:rsidP="00C433B8">
      <w:pPr>
        <w:jc w:val="center"/>
        <w:rPr>
          <w:rFonts w:ascii="Calibri" w:hAnsi="Calibri" w:cs="Calibri"/>
          <w:color w:val="262626"/>
          <w:sz w:val="22"/>
        </w:rPr>
      </w:pPr>
    </w:p>
    <w:tbl>
      <w:tblPr>
        <w:tblW w:w="508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1583"/>
        <w:gridCol w:w="1731"/>
        <w:gridCol w:w="1984"/>
        <w:gridCol w:w="1060"/>
        <w:gridCol w:w="41"/>
      </w:tblGrid>
      <w:tr w:rsidR="00C433B8" w14:paraId="79C18BD0" w14:textId="77777777" w:rsidTr="00FA3334">
        <w:tblPrEx>
          <w:tblCellMar>
            <w:top w:w="0" w:type="dxa"/>
            <w:bottom w:w="0" w:type="dxa"/>
          </w:tblCellMar>
        </w:tblPrEx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0"/>
          <w:p w14:paraId="6AEE56BA" w14:textId="77777777" w:rsidR="00C433B8" w:rsidRDefault="00C433B8" w:rsidP="00FA3334">
            <w:pPr>
              <w:pStyle w:val="Tekstpodstawowywcity"/>
              <w:snapToGrid w:val="0"/>
              <w:spacing w:line="288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Ryzyko / klauzula</w:t>
            </w:r>
          </w:p>
          <w:p w14:paraId="54821F32" w14:textId="77777777" w:rsidR="00C433B8" w:rsidRDefault="00C433B8" w:rsidP="00FA3334">
            <w:pPr>
              <w:pStyle w:val="Tekstpodstawowywcity"/>
              <w:snapToGrid w:val="0"/>
              <w:spacing w:line="288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3A44C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Limit minimalny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03F2B701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– wynikający z zakresu minimalnego opisanego w SWZ</w:t>
            </w:r>
          </w:p>
          <w:p w14:paraId="1163481B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sz w:val="22"/>
              </w:rPr>
            </w:pPr>
          </w:p>
          <w:p w14:paraId="28D1E3C4" w14:textId="77777777" w:rsidR="00C433B8" w:rsidRDefault="00C433B8" w:rsidP="00FA3334">
            <w:pPr>
              <w:pStyle w:val="Tekstpodstawowywcity"/>
              <w:snapToGrid w:val="0"/>
              <w:spacing w:line="288" w:lineRule="auto"/>
              <w:jc w:val="center"/>
            </w:pPr>
            <w:r>
              <w:rPr>
                <w:rFonts w:ascii="Calibri" w:hAnsi="Calibri" w:cs="Calibri"/>
                <w:b/>
                <w:bCs/>
                <w:i/>
                <w:sz w:val="22"/>
              </w:rPr>
              <w:t>(0 pkt.)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B9346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Limit maksymalny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17ED9955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–  preferowany przez Zamawiającego</w:t>
            </w:r>
          </w:p>
          <w:p w14:paraId="11200E80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15D8F5F5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i/>
                <w:sz w:val="22"/>
              </w:rPr>
              <w:t>(maks. liczba punktów</w:t>
            </w:r>
            <w:r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  <w:p w14:paraId="3F6066FC" w14:textId="77777777" w:rsidR="00C433B8" w:rsidRDefault="00C433B8" w:rsidP="00FA3334">
            <w:pPr>
              <w:pStyle w:val="Tekstpodstawowywcity"/>
              <w:snapToGrid w:val="0"/>
              <w:spacing w:line="288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BA71D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Oferowany przez Wykonawcę limit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0726EE03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i/>
                <w:sz w:val="22"/>
                <w:u w:val="single"/>
              </w:rPr>
              <w:t>[nie mniejszy</w:t>
            </w:r>
            <w:r>
              <w:rPr>
                <w:rFonts w:ascii="Calibri" w:hAnsi="Calibri" w:cs="Calibri"/>
                <w:b/>
                <w:bCs/>
                <w:i/>
                <w:sz w:val="22"/>
              </w:rPr>
              <w:t xml:space="preserve"> niż limit minimalny</w:t>
            </w:r>
            <w:r>
              <w:rPr>
                <w:rFonts w:ascii="Calibri" w:hAnsi="Calibri" w:cs="Calibri"/>
                <w:bCs/>
                <w:i/>
                <w:sz w:val="22"/>
              </w:rPr>
              <w:t xml:space="preserve"> (kolumna 2)</w:t>
            </w:r>
          </w:p>
          <w:p w14:paraId="7B85A0E8" w14:textId="77777777" w:rsidR="00C433B8" w:rsidRDefault="00C433B8" w:rsidP="00FA3334">
            <w:pPr>
              <w:pStyle w:val="Tekstpodstawowywcity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i/>
                <w:sz w:val="22"/>
                <w:u w:val="single"/>
              </w:rPr>
              <w:t>i nie większy</w:t>
            </w:r>
            <w:r>
              <w:rPr>
                <w:rFonts w:ascii="Calibri" w:hAnsi="Calibri" w:cs="Calibri"/>
                <w:bCs/>
                <w:i/>
                <w:sz w:val="22"/>
              </w:rPr>
              <w:t xml:space="preserve"> niż limit </w:t>
            </w:r>
            <w:r>
              <w:rPr>
                <w:rFonts w:ascii="Calibri" w:hAnsi="Calibri" w:cs="Calibri"/>
                <w:b/>
                <w:bCs/>
                <w:i/>
                <w:sz w:val="22"/>
              </w:rPr>
              <w:t>maksymalny</w:t>
            </w:r>
            <w:r>
              <w:rPr>
                <w:rFonts w:ascii="Calibri" w:hAnsi="Calibri" w:cs="Calibri"/>
                <w:bCs/>
                <w:i/>
                <w:sz w:val="22"/>
              </w:rPr>
              <w:t xml:space="preserve"> (kolumna 3)]</w:t>
            </w:r>
          </w:p>
          <w:p w14:paraId="507AF0D9" w14:textId="77777777" w:rsidR="00C433B8" w:rsidRDefault="00C433B8" w:rsidP="00FA3334">
            <w:pPr>
              <w:pStyle w:val="Tekstpodstawowywcity"/>
              <w:snapToGrid w:val="0"/>
              <w:spacing w:line="288" w:lineRule="auto"/>
              <w:jc w:val="center"/>
            </w:pPr>
            <w:r>
              <w:rPr>
                <w:rFonts w:ascii="Calibri" w:hAnsi="Calibri" w:cs="Calibri"/>
                <w:b/>
                <w:bCs/>
                <w:i/>
                <w:color w:val="FF0000"/>
                <w:sz w:val="22"/>
              </w:rPr>
              <w:t>Proszę wpisać wartość w zł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68562" w14:textId="77777777" w:rsidR="00C433B8" w:rsidRDefault="00C433B8" w:rsidP="00FA3334">
            <w:pPr>
              <w:tabs>
                <w:tab w:val="left" w:pos="2056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38E7BE32" w14:textId="77777777" w:rsidR="00C433B8" w:rsidRDefault="00C433B8" w:rsidP="00FA3334">
            <w:pPr>
              <w:tabs>
                <w:tab w:val="left" w:pos="2056"/>
              </w:tabs>
              <w:snapToGrid w:val="0"/>
              <w:jc w:val="center"/>
            </w:pPr>
            <w:r>
              <w:rPr>
                <w:rFonts w:ascii="Calibri" w:hAnsi="Calibri" w:cs="Calibri"/>
                <w:bCs/>
              </w:rPr>
              <w:t>Liczba punktów możliwych do uzyskania</w:t>
            </w:r>
          </w:p>
        </w:tc>
        <w:tc>
          <w:tcPr>
            <w:tcW w:w="41" w:type="dxa"/>
          </w:tcPr>
          <w:p w14:paraId="2D78437B" w14:textId="77777777" w:rsidR="00C433B8" w:rsidRDefault="00C433B8" w:rsidP="00FA3334">
            <w:pPr>
              <w:tabs>
                <w:tab w:val="left" w:pos="2056"/>
              </w:tabs>
              <w:snapToGrid w:val="0"/>
              <w:jc w:val="center"/>
            </w:pPr>
          </w:p>
        </w:tc>
      </w:tr>
      <w:tr w:rsidR="00C433B8" w14:paraId="7B583986" w14:textId="77777777" w:rsidTr="00FA3334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DAB5E" w14:textId="77777777" w:rsidR="00C433B8" w:rsidRDefault="00C433B8" w:rsidP="00FA3334">
            <w:pPr>
              <w:ind w:left="-71" w:right="-1" w:firstLine="71"/>
              <w:jc w:val="center"/>
              <w:rPr>
                <w:rFonts w:ascii="Calibri" w:hAnsi="Calibri" w:cs="Calibri"/>
                <w:i/>
                <w:szCs w:val="18"/>
              </w:rPr>
            </w:pPr>
            <w:r>
              <w:rPr>
                <w:rFonts w:ascii="Calibri" w:hAnsi="Calibri" w:cs="Calibri"/>
                <w:i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3F1EA" w14:textId="77777777" w:rsidR="00C433B8" w:rsidRDefault="00C433B8" w:rsidP="00FA3334">
            <w:pPr>
              <w:pStyle w:val="Nagwek3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483C2" w14:textId="77777777" w:rsidR="00C433B8" w:rsidRDefault="00C433B8" w:rsidP="00FA3334">
            <w:pPr>
              <w:ind w:right="-1"/>
              <w:jc w:val="center"/>
              <w:rPr>
                <w:rFonts w:ascii="Calibri" w:hAnsi="Calibri" w:cs="Calibri"/>
                <w:i/>
                <w:szCs w:val="18"/>
              </w:rPr>
            </w:pPr>
            <w:r>
              <w:rPr>
                <w:rFonts w:ascii="Calibri" w:hAnsi="Calibri" w:cs="Calibri"/>
                <w:i/>
                <w:szCs w:val="18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F9CF1" w14:textId="77777777" w:rsidR="00C433B8" w:rsidRDefault="00C433B8" w:rsidP="00FA3334">
            <w:pPr>
              <w:snapToGrid w:val="0"/>
              <w:jc w:val="center"/>
              <w:rPr>
                <w:rFonts w:ascii="Calibri" w:hAnsi="Calibri" w:cs="Calibri"/>
                <w:i/>
                <w:color w:val="000000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49FDE" w14:textId="77777777" w:rsidR="00C433B8" w:rsidRDefault="00C433B8" w:rsidP="00FA3334">
            <w:pPr>
              <w:snapToGrid w:val="0"/>
              <w:jc w:val="center"/>
              <w:rPr>
                <w:rFonts w:ascii="Calibri" w:hAnsi="Calibri" w:cs="Calibri"/>
                <w:i/>
                <w:color w:val="000000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Cs w:val="18"/>
              </w:rPr>
              <w:t>5</w:t>
            </w:r>
          </w:p>
        </w:tc>
        <w:tc>
          <w:tcPr>
            <w:tcW w:w="41" w:type="dxa"/>
          </w:tcPr>
          <w:p w14:paraId="1E45EB15" w14:textId="77777777" w:rsidR="00C433B8" w:rsidRDefault="00C433B8" w:rsidP="00FA3334">
            <w:pPr>
              <w:snapToGrid w:val="0"/>
              <w:jc w:val="center"/>
              <w:rPr>
                <w:rFonts w:ascii="Calibri" w:hAnsi="Calibri" w:cs="Calibri"/>
                <w:i/>
                <w:color w:val="000000"/>
                <w:szCs w:val="18"/>
              </w:rPr>
            </w:pPr>
          </w:p>
        </w:tc>
      </w:tr>
      <w:tr w:rsidR="00C433B8" w14:paraId="61E36512" w14:textId="77777777" w:rsidTr="00FA333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3D307" w14:textId="77777777" w:rsidR="00C433B8" w:rsidRDefault="00C433B8" w:rsidP="00FA3334">
            <w:pPr>
              <w:pStyle w:val="Tekstpodstawowywcity"/>
              <w:snapToGrid w:val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A.1.  UBEZPIECZENIE MIENIA OD WSZYSTKICH RYZYK</w:t>
            </w:r>
          </w:p>
        </w:tc>
      </w:tr>
      <w:tr w:rsidR="00C433B8" w14:paraId="1E3166B4" w14:textId="77777777" w:rsidTr="00FA333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93FDA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kradzież z włamaniem lub rabunek (w odniesieniu do środków trwałych)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376A5" w14:textId="77777777" w:rsidR="00C433B8" w:rsidRDefault="00C433B8" w:rsidP="00FA3334">
            <w:pPr>
              <w:jc w:val="center"/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500.000,00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B79E0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700.000,00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6AF495C" w14:textId="77777777" w:rsidR="00C433B8" w:rsidRDefault="00C433B8" w:rsidP="00FA3334">
            <w:pPr>
              <w:jc w:val="center"/>
              <w:rPr>
                <w:rFonts w:ascii="Calibri" w:hAnsi="Calibri" w:cs="Calibri"/>
                <w:color w:val="40404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E3719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79B48A7A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58C0B130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DCEF2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dewastacja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905AA" w14:textId="77777777" w:rsidR="00C433B8" w:rsidRDefault="00C433B8" w:rsidP="00FA3334">
            <w:pPr>
              <w:jc w:val="center"/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250.000,00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B05E0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500.000,00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3D4846" w14:textId="77777777" w:rsidR="00C433B8" w:rsidRDefault="00C433B8" w:rsidP="00FA3334">
            <w:pPr>
              <w:jc w:val="center"/>
              <w:rPr>
                <w:rFonts w:ascii="Calibri" w:hAnsi="Calibri" w:cs="Calibri"/>
                <w:color w:val="40404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AA6D5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5FAF0787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74856262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A74E5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szyby od stłuczeń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37C0F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20.000,00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B49DA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30.000,00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4D1A85" w14:textId="77777777" w:rsidR="00C433B8" w:rsidRDefault="00C433B8" w:rsidP="00FA3334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F307D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7EF412E2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45E81DAD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C343A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</w:pPr>
            <w:r>
              <w:rPr>
                <w:rFonts w:ascii="Calibri" w:hAnsi="Calibri" w:cs="Calibri"/>
                <w:b/>
                <w:sz w:val="20"/>
              </w:rPr>
              <w:t>kradzież zwykła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C5AD5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15.000,00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554F9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30.000,00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99CC1E" w14:textId="77777777" w:rsidR="00C433B8" w:rsidRDefault="00C433B8" w:rsidP="00FA3334">
            <w:pPr>
              <w:jc w:val="center"/>
              <w:rPr>
                <w:rFonts w:ascii="Calibri" w:hAnsi="Calibri" w:cs="Calibri"/>
                <w:color w:val="40404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877E3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555C02E6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2291D02C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753CE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przepięć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FD80" w14:textId="77777777" w:rsidR="00C433B8" w:rsidRDefault="00C433B8" w:rsidP="00FA3334">
            <w:pPr>
              <w:jc w:val="center"/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500.000,00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7CE1F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1.000.000,00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B650F" w14:textId="77777777" w:rsidR="00C433B8" w:rsidRDefault="00C433B8" w:rsidP="00FA333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0DC92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434AAB13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28BFC392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BDA69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zwiększonych kosztów i kontynuacji działalności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6D159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200.000,00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A300D" w14:textId="77777777" w:rsidR="00C433B8" w:rsidRDefault="00C433B8" w:rsidP="00FA3334">
            <w:pPr>
              <w:jc w:val="center"/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200.000,00 zł</w:t>
            </w:r>
          </w:p>
          <w:p w14:paraId="60525211" w14:textId="77777777" w:rsidR="00C433B8" w:rsidRDefault="00C433B8" w:rsidP="00FA3334">
            <w:pPr>
              <w:jc w:val="center"/>
            </w:pPr>
            <w:r>
              <w:rPr>
                <w:rFonts w:ascii="Calibri" w:hAnsi="Calibri" w:cs="Calibri"/>
                <w:color w:val="70AD47"/>
                <w:sz w:val="20"/>
                <w:szCs w:val="20"/>
              </w:rPr>
              <w:t>300.000,00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32D04" w14:textId="77777777" w:rsidR="00C433B8" w:rsidRDefault="00C433B8" w:rsidP="00FA333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2E04C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30E3A864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48FFE03B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E7734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kosztów dodatkowych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FE474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200.000,00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BF276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300.000,00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3154CF" w14:textId="77777777" w:rsidR="00C433B8" w:rsidRDefault="00C433B8" w:rsidP="00FA3334">
            <w:pPr>
              <w:jc w:val="center"/>
              <w:rPr>
                <w:rFonts w:ascii="Calibri" w:hAnsi="Calibri" w:cs="Calibri"/>
                <w:color w:val="40404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F6F08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0DA3339E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2586B664" w14:textId="77777777" w:rsidTr="00FA33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A1B3E" w14:textId="77777777" w:rsidR="00C433B8" w:rsidRDefault="00C433B8" w:rsidP="00C433B8">
            <w:pPr>
              <w:pStyle w:val="Tekstpodstawowywcity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26" w:right="74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szkód mechanicznych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3CAE8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200.000,00 zł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BCE4A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color w:val="262626"/>
                <w:sz w:val="20"/>
                <w:szCs w:val="20"/>
              </w:rPr>
              <w:t>300.000,00 zł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75ECEF" w14:textId="77777777" w:rsidR="00C433B8" w:rsidRDefault="00C433B8" w:rsidP="00FA3334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F7700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10</w:t>
            </w:r>
          </w:p>
        </w:tc>
        <w:tc>
          <w:tcPr>
            <w:tcW w:w="41" w:type="dxa"/>
          </w:tcPr>
          <w:p w14:paraId="2654FD50" w14:textId="77777777" w:rsidR="00C433B8" w:rsidRDefault="00C433B8" w:rsidP="00FA3334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tr w:rsidR="00C433B8" w14:paraId="3DA641AD" w14:textId="77777777" w:rsidTr="00FA333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FDA05" w14:textId="77777777" w:rsidR="00C433B8" w:rsidRDefault="00C433B8" w:rsidP="00FA3334">
            <w:pPr>
              <w:jc w:val="right"/>
            </w:pPr>
            <w:r>
              <w:rPr>
                <w:rFonts w:ascii="Calibri" w:hAnsi="Calibri" w:cs="Calibri"/>
                <w:b/>
                <w:sz w:val="22"/>
              </w:rPr>
              <w:t>Razem: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BB46D" w14:textId="77777777" w:rsidR="00C433B8" w:rsidRDefault="00C433B8" w:rsidP="00FA3334">
            <w:pPr>
              <w:tabs>
                <w:tab w:val="left" w:pos="2056"/>
              </w:tabs>
              <w:snapToGrid w:val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80</w:t>
            </w:r>
          </w:p>
        </w:tc>
        <w:tc>
          <w:tcPr>
            <w:tcW w:w="41" w:type="dxa"/>
          </w:tcPr>
          <w:p w14:paraId="72B5A5CB" w14:textId="77777777" w:rsidR="00C433B8" w:rsidRDefault="00C433B8" w:rsidP="00FA3334">
            <w:pPr>
              <w:tabs>
                <w:tab w:val="left" w:pos="2056"/>
              </w:tabs>
              <w:snapToGrid w:val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E32571A" w14:textId="77777777" w:rsidR="00C433B8" w:rsidRDefault="00C433B8" w:rsidP="00C433B8">
      <w:pPr>
        <w:ind w:left="426"/>
        <w:jc w:val="both"/>
        <w:rPr>
          <w:rFonts w:ascii="Calibri" w:hAnsi="Calibri" w:cs="Calibri"/>
          <w:color w:val="0070C0"/>
          <w:sz w:val="22"/>
        </w:rPr>
      </w:pPr>
    </w:p>
    <w:p w14:paraId="5C443E56" w14:textId="77777777" w:rsidR="00C433B8" w:rsidRDefault="00C433B8" w:rsidP="00C433B8">
      <w:pPr>
        <w:pStyle w:val="Standard0"/>
      </w:pPr>
    </w:p>
    <w:p w14:paraId="4118446E" w14:textId="77777777" w:rsidR="00C433B8" w:rsidRDefault="00C433B8" w:rsidP="00C433B8">
      <w:pPr>
        <w:pStyle w:val="Standard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Załączniki:</w:t>
      </w:r>
    </w:p>
    <w:p w14:paraId="5B060BF9" w14:textId="77777777" w:rsidR="00C433B8" w:rsidRDefault="00C433B8" w:rsidP="00C433B8">
      <w:pPr>
        <w:pStyle w:val="Standard0"/>
        <w:numPr>
          <w:ilvl w:val="0"/>
          <w:numId w:val="5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Zmodyfikowany Załącznik nr 4a do SWZ</w:t>
      </w:r>
    </w:p>
    <w:p w14:paraId="12062B66" w14:textId="77777777" w:rsidR="00C433B8" w:rsidRDefault="00C433B8" w:rsidP="00C433B8">
      <w:pPr>
        <w:pStyle w:val="Standard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F0E0CA" w14:textId="77777777" w:rsidR="00AF55A8" w:rsidRPr="00D72F2D" w:rsidRDefault="00AF55A8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sectPr w:rsidR="00AF55A8" w:rsidRPr="00D72F2D" w:rsidSect="00542474">
      <w:headerReference w:type="default" r:id="rId8"/>
      <w:footerReference w:type="default" r:id="rId9"/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E70B" w14:textId="77777777" w:rsidR="00830038" w:rsidRDefault="00830038" w:rsidP="00F05778">
      <w:pPr>
        <w:spacing w:line="240" w:lineRule="auto"/>
      </w:pPr>
      <w:r>
        <w:separator/>
      </w:r>
    </w:p>
  </w:endnote>
  <w:endnote w:type="continuationSeparator" w:id="0">
    <w:p w14:paraId="04890611" w14:textId="77777777" w:rsidR="00830038" w:rsidRDefault="00830038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C05" w14:textId="4F3C94E1" w:rsidR="003C1BC2" w:rsidRDefault="003C1BC2">
    <w:pPr>
      <w:pStyle w:val="Stopka"/>
      <w:jc w:val="right"/>
    </w:pPr>
  </w:p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B0C1" w14:textId="77777777" w:rsidR="00830038" w:rsidRDefault="00830038" w:rsidP="00F05778">
      <w:pPr>
        <w:spacing w:line="240" w:lineRule="auto"/>
      </w:pPr>
      <w:r>
        <w:separator/>
      </w:r>
    </w:p>
  </w:footnote>
  <w:footnote w:type="continuationSeparator" w:id="0">
    <w:p w14:paraId="4A15259A" w14:textId="77777777" w:rsidR="00830038" w:rsidRDefault="00830038" w:rsidP="00F0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680" w14:textId="73398D31" w:rsidR="00267B3D" w:rsidRPr="000E6C94" w:rsidRDefault="00267B3D" w:rsidP="00267B3D">
    <w:pPr>
      <w:pStyle w:val="Nagwek"/>
      <w:rPr>
        <w:color w:val="0D0D0D" w:themeColor="text1" w:themeTint="F2"/>
      </w:rPr>
    </w:pPr>
    <w:r>
      <w:rPr>
        <w:color w:val="0D0D0D" w:themeColor="text1" w:themeTint="F2"/>
      </w:rPr>
      <w:t>JAWNE</w:t>
    </w:r>
    <w:r w:rsidRPr="000E6C94">
      <w:rPr>
        <w:color w:val="0D0D0D" w:themeColor="text1" w:themeTint="F2"/>
      </w:rPr>
      <w:t xml:space="preserve"> WYJAŚNIENIA DO SWZ</w:t>
    </w:r>
  </w:p>
  <w:p w14:paraId="7807208C" w14:textId="77777777" w:rsidR="00267B3D" w:rsidRDefault="00267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2D74DE8"/>
    <w:multiLevelType w:val="multilevel"/>
    <w:tmpl w:val="1D127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B4ABA"/>
    <w:multiLevelType w:val="multilevel"/>
    <w:tmpl w:val="2C844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ED71AF"/>
    <w:multiLevelType w:val="hybridMultilevel"/>
    <w:tmpl w:val="AE00C87C"/>
    <w:lvl w:ilvl="0" w:tplc="288E37B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5B03F8"/>
    <w:multiLevelType w:val="hybridMultilevel"/>
    <w:tmpl w:val="E0D4CB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17C6"/>
    <w:rsid w:val="000C4610"/>
    <w:rsid w:val="000F0F70"/>
    <w:rsid w:val="000F6D60"/>
    <w:rsid w:val="00104D9A"/>
    <w:rsid w:val="00113EAF"/>
    <w:rsid w:val="0012099B"/>
    <w:rsid w:val="001265AC"/>
    <w:rsid w:val="001304C2"/>
    <w:rsid w:val="00132DAA"/>
    <w:rsid w:val="00134817"/>
    <w:rsid w:val="00152549"/>
    <w:rsid w:val="001527D7"/>
    <w:rsid w:val="00164172"/>
    <w:rsid w:val="00171BF2"/>
    <w:rsid w:val="001B7F3B"/>
    <w:rsid w:val="001C6ABA"/>
    <w:rsid w:val="001C7A8B"/>
    <w:rsid w:val="001E3C12"/>
    <w:rsid w:val="001F55B4"/>
    <w:rsid w:val="00205C59"/>
    <w:rsid w:val="002100B2"/>
    <w:rsid w:val="00216F9B"/>
    <w:rsid w:val="002302C4"/>
    <w:rsid w:val="002400DA"/>
    <w:rsid w:val="002452B5"/>
    <w:rsid w:val="002651E1"/>
    <w:rsid w:val="00267B3D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173C5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4C2B3A"/>
    <w:rsid w:val="004D6A04"/>
    <w:rsid w:val="004F1981"/>
    <w:rsid w:val="00514ABA"/>
    <w:rsid w:val="00522ED3"/>
    <w:rsid w:val="00534322"/>
    <w:rsid w:val="00534873"/>
    <w:rsid w:val="00542474"/>
    <w:rsid w:val="00552163"/>
    <w:rsid w:val="00552CE5"/>
    <w:rsid w:val="00555E83"/>
    <w:rsid w:val="00563331"/>
    <w:rsid w:val="00563AFB"/>
    <w:rsid w:val="00563C36"/>
    <w:rsid w:val="00565462"/>
    <w:rsid w:val="00577906"/>
    <w:rsid w:val="0058563F"/>
    <w:rsid w:val="005A2EE5"/>
    <w:rsid w:val="005A5B7E"/>
    <w:rsid w:val="005C0234"/>
    <w:rsid w:val="005F0ED3"/>
    <w:rsid w:val="0061747E"/>
    <w:rsid w:val="0062024E"/>
    <w:rsid w:val="0063527E"/>
    <w:rsid w:val="00665D30"/>
    <w:rsid w:val="00671656"/>
    <w:rsid w:val="00673EE1"/>
    <w:rsid w:val="00685B29"/>
    <w:rsid w:val="006A593D"/>
    <w:rsid w:val="006B6440"/>
    <w:rsid w:val="006B67F9"/>
    <w:rsid w:val="006D1908"/>
    <w:rsid w:val="006D2D55"/>
    <w:rsid w:val="006D681F"/>
    <w:rsid w:val="006E3BA5"/>
    <w:rsid w:val="0071095B"/>
    <w:rsid w:val="00734588"/>
    <w:rsid w:val="00756A1B"/>
    <w:rsid w:val="0077195B"/>
    <w:rsid w:val="0077206E"/>
    <w:rsid w:val="0077307A"/>
    <w:rsid w:val="00785E53"/>
    <w:rsid w:val="00793AD3"/>
    <w:rsid w:val="007A6357"/>
    <w:rsid w:val="007B1F5C"/>
    <w:rsid w:val="007B32C9"/>
    <w:rsid w:val="007C0290"/>
    <w:rsid w:val="007C3D41"/>
    <w:rsid w:val="007F7794"/>
    <w:rsid w:val="00806A6E"/>
    <w:rsid w:val="00830038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AF55A8"/>
    <w:rsid w:val="00B22F0B"/>
    <w:rsid w:val="00B240FD"/>
    <w:rsid w:val="00B27226"/>
    <w:rsid w:val="00B315F2"/>
    <w:rsid w:val="00B453E1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33B8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4006C"/>
    <w:rsid w:val="00D558DB"/>
    <w:rsid w:val="00D72E16"/>
    <w:rsid w:val="00D72F2D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1207C"/>
    <w:rsid w:val="00E41A90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07E89"/>
    <w:rsid w:val="00F1357B"/>
    <w:rsid w:val="00F227CB"/>
    <w:rsid w:val="00F26290"/>
    <w:rsid w:val="00F3552A"/>
    <w:rsid w:val="00F37247"/>
    <w:rsid w:val="00F401D2"/>
    <w:rsid w:val="00F612F8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BB62B415-6C41-4FED-98F7-0C55005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wypunktowanie"/>
    <w:basedOn w:val="Normalny"/>
    <w:link w:val="AkapitzlistZnak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06E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paragraph" w:customStyle="1" w:styleId="Standard0">
    <w:name w:val="Standard"/>
    <w:rsid w:val="00C433B8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1A-36E1-4B21-94FC-6FD927D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Merydian SA</cp:lastModifiedBy>
  <cp:revision>2</cp:revision>
  <cp:lastPrinted>2018-10-24T07:01:00Z</cp:lastPrinted>
  <dcterms:created xsi:type="dcterms:W3CDTF">2022-01-03T11:18:00Z</dcterms:created>
  <dcterms:modified xsi:type="dcterms:W3CDTF">2022-01-03T11:18:00Z</dcterms:modified>
</cp:coreProperties>
</file>