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C1E9E" w:rsidRDefault="002641C1" w:rsidP="004C1E9E">
            <w:pPr>
              <w:rPr>
                <w:rFonts w:cs="Times New Roman"/>
                <w:b/>
                <w:sz w:val="21"/>
                <w:szCs w:val="21"/>
              </w:rPr>
            </w:pPr>
            <w:bookmarkStart w:id="0" w:name="_Hlk12607021"/>
            <w:r w:rsidRPr="004C1E9E">
              <w:rPr>
                <w:rFonts w:cs="Times New Roman"/>
                <w:b/>
                <w:sz w:val="21"/>
                <w:szCs w:val="21"/>
              </w:rPr>
              <w:t>ZP/220/</w:t>
            </w:r>
            <w:r w:rsidR="004C1E9E" w:rsidRPr="004C1E9E">
              <w:rPr>
                <w:rFonts w:cs="Times New Roman"/>
                <w:b/>
                <w:sz w:val="21"/>
                <w:szCs w:val="21"/>
              </w:rPr>
              <w:t>34</w:t>
            </w:r>
            <w:r w:rsidR="00CB7275" w:rsidRPr="004C1E9E">
              <w:rPr>
                <w:rFonts w:cs="Times New Roman"/>
                <w:b/>
                <w:sz w:val="21"/>
                <w:szCs w:val="21"/>
              </w:rPr>
              <w:t>/</w:t>
            </w:r>
            <w:r w:rsidR="00A711D1" w:rsidRPr="004C1E9E">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281F3D" w:rsidRPr="004C1E9E" w:rsidRDefault="004C1E9E" w:rsidP="00883CDE">
      <w:pPr>
        <w:spacing w:after="0" w:line="240" w:lineRule="auto"/>
        <w:jc w:val="both"/>
        <w:rPr>
          <w:rFonts w:ascii="Calibri" w:hAnsi="Calibri"/>
          <w:bCs/>
          <w:i/>
          <w:sz w:val="20"/>
          <w:szCs w:val="20"/>
        </w:rPr>
      </w:pPr>
      <w:r w:rsidRPr="004C1E9E">
        <w:rPr>
          <w:rFonts w:ascii="Calibri" w:hAnsi="Calibri"/>
          <w:i/>
          <w:sz w:val="20"/>
          <w:szCs w:val="20"/>
        </w:rPr>
        <w:t xml:space="preserve">Dotyczy: postępowania o udzielenie zamówienia publicznego na </w:t>
      </w:r>
      <w:r w:rsidRPr="004C1E9E">
        <w:rPr>
          <w:rFonts w:ascii="Calibri" w:hAnsi="Calibri"/>
          <w:bCs/>
          <w:i/>
          <w:sz w:val="20"/>
          <w:szCs w:val="20"/>
        </w:rPr>
        <w:t>dostawę i montaż autoklawu plazmowego o czynniku roboczym: nadtlenek wodoru (H</w:t>
      </w:r>
      <w:r w:rsidRPr="004C1E9E">
        <w:rPr>
          <w:rFonts w:ascii="Calibri" w:hAnsi="Calibri"/>
          <w:bCs/>
          <w:i/>
          <w:sz w:val="20"/>
          <w:szCs w:val="20"/>
          <w:vertAlign w:val="subscript"/>
        </w:rPr>
        <w:t>2</w:t>
      </w:r>
      <w:r w:rsidRPr="004C1E9E">
        <w:rPr>
          <w:rFonts w:ascii="Calibri" w:hAnsi="Calibri"/>
          <w:bCs/>
          <w:i/>
          <w:sz w:val="20"/>
          <w:szCs w:val="20"/>
        </w:rPr>
        <w:t>O</w:t>
      </w:r>
      <w:r w:rsidRPr="004C1E9E">
        <w:rPr>
          <w:rFonts w:ascii="Calibri" w:hAnsi="Calibri"/>
          <w:bCs/>
          <w:i/>
          <w:sz w:val="20"/>
          <w:szCs w:val="20"/>
          <w:vertAlign w:val="subscript"/>
        </w:rPr>
        <w:t>2</w:t>
      </w:r>
      <w:r w:rsidRPr="004C1E9E">
        <w:rPr>
          <w:rFonts w:ascii="Calibri" w:hAnsi="Calibri"/>
          <w:bCs/>
          <w:i/>
          <w:sz w:val="20"/>
          <w:szCs w:val="20"/>
        </w:rPr>
        <w:t>).</w:t>
      </w:r>
    </w:p>
    <w:p w:rsidR="004C1E9E" w:rsidRPr="004C1E9E" w:rsidRDefault="004C1E9E" w:rsidP="00883CDE">
      <w:pPr>
        <w:spacing w:after="0" w:line="240" w:lineRule="auto"/>
        <w:jc w:val="both"/>
        <w:rPr>
          <w:rFonts w:cs="Times New Roman"/>
          <w:b/>
          <w:sz w:val="20"/>
          <w:szCs w:val="20"/>
          <w:u w:val="single"/>
        </w:rPr>
      </w:pPr>
    </w:p>
    <w:p w:rsidR="00883CDE" w:rsidRPr="004C1E9E" w:rsidRDefault="00883CDE" w:rsidP="00883CDE">
      <w:pPr>
        <w:tabs>
          <w:tab w:val="left" w:pos="0"/>
        </w:tabs>
        <w:spacing w:line="240" w:lineRule="auto"/>
        <w:jc w:val="center"/>
        <w:rPr>
          <w:rFonts w:cs="Times New Roman"/>
          <w:b/>
          <w:sz w:val="28"/>
          <w:szCs w:val="28"/>
        </w:rPr>
      </w:pPr>
      <w:r w:rsidRPr="004C1E9E">
        <w:rPr>
          <w:rFonts w:cs="Times New Roman"/>
          <w:b/>
          <w:sz w:val="28"/>
          <w:szCs w:val="28"/>
        </w:rPr>
        <w:t>WYJAŚNIENIE NR 1</w:t>
      </w:r>
      <w:r w:rsidRPr="004C1E9E">
        <w:rPr>
          <w:rFonts w:cs="Times New Roman"/>
          <w:b/>
          <w:sz w:val="28"/>
          <w:szCs w:val="28"/>
        </w:rPr>
        <w:tab/>
        <w:t xml:space="preserve">  </w:t>
      </w:r>
    </w:p>
    <w:p w:rsidR="00340C62" w:rsidRPr="004C1E9E" w:rsidRDefault="00340C62" w:rsidP="006E2DB2">
      <w:pPr>
        <w:spacing w:line="240" w:lineRule="auto"/>
        <w:jc w:val="both"/>
        <w:rPr>
          <w:rFonts w:cs="Times New Roman"/>
        </w:rPr>
      </w:pPr>
    </w:p>
    <w:p w:rsidR="00FF0107" w:rsidRPr="004C1E9E" w:rsidRDefault="00883CDE" w:rsidP="00340C62">
      <w:pPr>
        <w:spacing w:line="240" w:lineRule="auto"/>
        <w:jc w:val="both"/>
        <w:rPr>
          <w:rFonts w:cs="Times New Roman"/>
          <w:sz w:val="21"/>
          <w:szCs w:val="21"/>
        </w:rPr>
        <w:sectPr w:rsidR="00FF0107" w:rsidRPr="004C1E9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C1E9E">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4C1E9E">
        <w:rPr>
          <w:rFonts w:cs="Times New Roman"/>
          <w:sz w:val="21"/>
          <w:szCs w:val="21"/>
        </w:rPr>
        <w:t xml:space="preserve">udziela następujących </w:t>
      </w:r>
      <w:r w:rsidR="007116F9" w:rsidRPr="004C1E9E">
        <w:rPr>
          <w:rFonts w:cs="Times New Roman"/>
          <w:sz w:val="21"/>
          <w:szCs w:val="21"/>
        </w:rPr>
        <w:t>wyjaśnień:</w:t>
      </w:r>
    </w:p>
    <w:p w:rsidR="004C1E9E" w:rsidRPr="004C1E9E" w:rsidRDefault="004C1E9E" w:rsidP="005037EF">
      <w:pPr>
        <w:autoSpaceDE w:val="0"/>
        <w:spacing w:line="240" w:lineRule="auto"/>
        <w:jc w:val="both"/>
        <w:rPr>
          <w:sz w:val="21"/>
          <w:szCs w:val="21"/>
        </w:rPr>
      </w:pPr>
      <w:bookmarkStart w:id="2" w:name="_Hlk12607031"/>
      <w:r w:rsidRPr="004C1E9E">
        <w:rPr>
          <w:b/>
          <w:bCs/>
          <w:sz w:val="21"/>
          <w:szCs w:val="21"/>
        </w:rPr>
        <w:t>Pytanie 1</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1.1)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dopuści rozwiązanie lepsze od opisanego tj. sterylizator, który nie jest sterylizatorem plazmowym, ale wykorzystuje ten sam czynnik sterylizujący tj. gazowa postać nadtlenku wodoru? Sterylizator „plazmowy” to tylko powszechnie używana nazwa dla sterylizatorów na nadtlenek wodoru, które do rozkładu czynnika sterylizującego wykorzystują fazę plazmy. Nie istnieją żadne badania, które potwierdzają skuteczność sterylizacyjną fazy plazmy. Najnowocześniejsze technologie nie potrzebują do rozkładu nadtlenku wodoru plazmy, a rozkładają go do bezpiecznej pozostałości przez zjawisko konwersji katalitycznej. Konwerter, w przeciwieństwie do generatora plazmy, jest bezobsługowy i posiada dożywotnią gwarancję. Powyższą tezę potwierdzają również aktualne europejskie normy, które nie opisują już sterylizacji plazmowej, a sterylizację parami nadtlenku wodoru (EN ISO 17664:2017 – Przetwarzanie produktów do ochrony zdrowia – Tablica A.1).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rozwiązanie pomijające fazę plazmy a stosujące konwersję katalityczną nadtlenku wodoru pod warunkiem kompatybilności tego rozwiązania w sterylizacji niskotemperaturowej z wymogami producenta endoskopów chirurgii robotycznej daVinci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1.2)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Prosimy o zatwierdzenie, że Zamawiający wymaga sterylizatora, który umożliwia sterylizację narzędzi endoskopowych da Vinci, wraz z innymi materiałami do sterylizacji w jednym wsadzie.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Zgodnie z SIWZ - zamawiający nie wymaga sterylizacji narzędzi endoskopowych daVinci  wraz z innymi materiałami w jednym wsadzie.</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3</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1.2)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wymaga, aby urządzenie pozwalało na sterylizację narzędzi endoskopowych da Vinci w czasie krótszym niż 20 min.?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wymaga aby czas i parametry sterylizacji programu dedykowanego do endoskopu daVinvi Xi były kompatybilne i zgodne z wymogami producenta endoskopów chirurgii robotycznej daVinci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4</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1.3)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Prosimy o potwierdzenie, że Zamawiający wymaga komory o pojemności roboczej (tj. faktycznej do wykorzystania) 130 ÷ 160l.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Zgodnie z SIWZ – Zamawiający wymaga komory o pojemności całkowitej  130 ÷ 160 l.</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5</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1.7)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Prosimy o dopuszczenie rozwiązania równoważnego tj. dwóch wysuwanych półek.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rozwiązanie równoważne tj. dwie wysuwane półki, pod warunkiem kompatybilności i zgodności z normami i wymogami producenta endoskopów chirurgii robotycznej daVinci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6</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1.8)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w przypadku zaoferowania sterylizatora o pojemności komory mieszczącej dedykowane przez producenta pojemniki na endoskopy daVinci serii Xi oraz X Zamawiający odstąpi od opisanego parametru?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W przypadku zaoferowania sterylizatora o pojemności komory mieszczącej dedykowane przez producenta pojemniki na endoskopy daVinci Xi, Zamawiający odstąpi od tego parametru pod warunkiem zgodności sterylizatora i programu sterylizacji niskotemperaturowej z normami potwierdzonymi przez certyfikowane laboratorium SMP GmBH, potwierdzonymi przez producenta.</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7</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1.9)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Ponieważ do opisanego sterylizatora nie stosuje się wózków załadowczych prosimy o dopuszczenie sterylizatora wyposażonego w dwie wysuwane półki.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w opisywanym sterylizatorze dwie wysuwane półki.</w:t>
      </w:r>
    </w:p>
    <w:p w:rsidR="004C1E9E" w:rsidRPr="004C1E9E" w:rsidRDefault="004C1E9E" w:rsidP="005037EF">
      <w:pPr>
        <w:autoSpaceDE w:val="0"/>
        <w:spacing w:line="240" w:lineRule="auto"/>
        <w:jc w:val="both"/>
        <w:rPr>
          <w:sz w:val="21"/>
          <w:szCs w:val="21"/>
        </w:rPr>
      </w:pPr>
      <w:r w:rsidRPr="004C1E9E">
        <w:rPr>
          <w:b/>
          <w:bCs/>
          <w:sz w:val="21"/>
          <w:szCs w:val="21"/>
        </w:rPr>
        <w:t>Pytanie 8</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1.10)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poprzez testy szybkiego odczytu ma na myśli testy, które pozwalają na zwolnienie wsadu już do 20 minut (ostateczny odczyt po okresie inkubacji nie więcej niż 20 min.)?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uznaje, że testy szybkiego odczytu powinny umożliwić zwolnienie wsadu w czasie do 60 minut.</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9</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1.10, 2.1 oraz SIWZ VII 3B.1)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potwierdza, że za dokument równoważny uzna instrukcję producenta robota da Vinci firmy Intuitive Surgical, która zgodnie z wymaganiami Ustawy o Wyrobach Medycznych jest najbardziej właściwym dokumentem określającym sposoby dekontaminacji wyrobów medycznych?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Przez certyfikację Zamawiający rozumie wskazanie rodzaju i materiałów służących do pakowania wsadu, środków służących do przeprowadzenia procesu (czynnik sterylizujący) oraz programu sterującego procesem gwarantujących wysterylizowanie wsadu akceptowanych przez producenta robota daVinvi. Akceptacja taka jest  warunkiem uznania gwarancji przez Intuitive Surgical w przypadku niesprawności narzędzi. Zamawiający uzna za dokument równoważny instrukcję producenta robota daVinci o ile wskazany w niej będzie typ i model sterylizatora, rodzaj używanego programu, czynnika sterylizującego oraz materiał i sposób opakowania wsadu.</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10</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3.6)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Prosimy o odstąpienie od opisanego parametru, blokowanie dostępu personelowi obsługującemu sterylizator ogranicza płynność pracy w Centralnej Sterylizatorni.</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nie odstąpi od parametru – zabezpiecza on przed dostępem osób nieuprawnionych oraz pozwala identyfikować osoby obsługujące urządzenie.</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11</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(pkt. 4.2)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dopuści rozwiązanie lepsze od opisanego w SIWZ tj. zapis 300 cykli w pamięci urządzenia, bez wykresów analogowych, które są trudne w interpretacji, natomiast ze szczegółowym opisem poszczególnych etapów i parametrów procesu?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Zgodnie z SIWZ – wykres analogowy pozwala na szybką ocenę prawidłowości przebiegu procesu, w razie widocznych nieprawidłowości prowadzi się szczegółową analizę zapisu liczbowego parametrów. Ponadto prezentacja istotnych parametrów procesu za pomocą wykresu analogowego jest powszechnie stosowanym rozwiązaniem  w sterylizatorach różnych typów.</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12</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(OGÓLNE)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wymaga by wraz z ofertą dostarczyć minimum dwie referencje na dostawy sterylizatora wykonanego w tej samej technologii?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nie wymaga dostarczenia referencji.</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13</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(OGÓLNE)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wymaga rekomendacji min. czterech wiodących producentów sprzętu jak np. Olympus, Karl Storz, Aesculap? Sterylizacja sprzętu nie dopuszczonego w instrukcji przez jego producenta wiąże się z przejęciem pełnej odpowiedzialności na Zamawiającego tj. ponoszeniem </w:t>
      </w:r>
      <w:r w:rsidRPr="004C1E9E">
        <w:rPr>
          <w:sz w:val="21"/>
          <w:szCs w:val="21"/>
        </w:rPr>
        <w:t xml:space="preserve">wysokich kosztów naprawy w przypadku uszkodzenia sprzętu w wyniku sterylizacji i/lub utraty gwarancji.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nie wymaga takich rekomendacji.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14</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(OGÓLNE)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wymaga by sterylizator umożliwiał sterylizację powszechnie używanych endoskopów sztywnych: jedno-, dwu- i trzykanałowych?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Parametr pożądany ale nie wymagany.</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15</w:t>
      </w:r>
    </w:p>
    <w:p w:rsidR="004C1E9E" w:rsidRPr="004C1E9E" w:rsidRDefault="004C1E9E" w:rsidP="005037EF">
      <w:pPr>
        <w:autoSpaceDE w:val="0"/>
        <w:autoSpaceDN w:val="0"/>
        <w:adjustRightInd w:val="0"/>
        <w:spacing w:line="240" w:lineRule="auto"/>
        <w:jc w:val="both"/>
        <w:rPr>
          <w:rFonts w:cs="Calibri"/>
          <w:color w:val="000000"/>
          <w:sz w:val="21"/>
          <w:szCs w:val="21"/>
        </w:rPr>
      </w:pPr>
      <w:r w:rsidRPr="004C1E9E">
        <w:rPr>
          <w:rFonts w:cs="Calibri"/>
          <w:b/>
          <w:bCs/>
          <w:color w:val="000000"/>
          <w:sz w:val="21"/>
          <w:szCs w:val="21"/>
        </w:rPr>
        <w:t xml:space="preserve">opis parametrów – załącznik nr 2 (OGÓLNE) </w:t>
      </w:r>
    </w:p>
    <w:p w:rsidR="004C1E9E" w:rsidRPr="004C1E9E" w:rsidRDefault="004C1E9E" w:rsidP="005037EF">
      <w:pPr>
        <w:autoSpaceDE w:val="0"/>
        <w:spacing w:line="240" w:lineRule="auto"/>
        <w:jc w:val="both"/>
        <w:rPr>
          <w:b/>
          <w:bCs/>
          <w:sz w:val="21"/>
          <w:szCs w:val="21"/>
        </w:rPr>
      </w:pPr>
      <w:r w:rsidRPr="004C1E9E">
        <w:rPr>
          <w:rFonts w:cs="Calibri"/>
          <w:color w:val="000000"/>
          <w:sz w:val="21"/>
          <w:szCs w:val="21"/>
        </w:rPr>
        <w:t xml:space="preserve">Czy Zamawiający wymaga by sterylizator umożliwiał procesowanie endoskopów elastycznych dwukanałowych? Tylko sterylizator z takimi możliwościami pozawala na sterylizację większości rodzajów bronchoskopów.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Parametr pożądany ale nie wymagany.</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16</w:t>
      </w:r>
    </w:p>
    <w:p w:rsidR="004C1E9E" w:rsidRPr="004C1E9E" w:rsidRDefault="004C1E9E" w:rsidP="005037EF">
      <w:pPr>
        <w:autoSpaceDE w:val="0"/>
        <w:spacing w:line="240" w:lineRule="auto"/>
        <w:jc w:val="both"/>
        <w:rPr>
          <w:b/>
          <w:bCs/>
          <w:sz w:val="21"/>
          <w:szCs w:val="21"/>
        </w:rPr>
      </w:pPr>
      <w:r w:rsidRPr="004C1E9E">
        <w:rPr>
          <w:rFonts w:eastAsia="Calibri"/>
          <w:sz w:val="21"/>
          <w:szCs w:val="21"/>
        </w:rPr>
        <w:t>Dot. 1.8 – Prosimy o potwierdzenie, iż Zamawiający wymaga możliwości sterylizacji w opisanym koszu endoskopów daVinci serii 2.0</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wymaga możliwości sterylizacji w opisanym koszu endoskopów daVinci Xi oraz X serii 2.0.</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17</w:t>
      </w:r>
    </w:p>
    <w:p w:rsidR="004C1E9E" w:rsidRPr="004C1E9E" w:rsidRDefault="004C1E9E" w:rsidP="005037EF">
      <w:pPr>
        <w:autoSpaceDE w:val="0"/>
        <w:spacing w:line="240" w:lineRule="auto"/>
        <w:jc w:val="both"/>
        <w:rPr>
          <w:b/>
          <w:bCs/>
          <w:sz w:val="21"/>
          <w:szCs w:val="21"/>
        </w:rPr>
      </w:pPr>
      <w:r w:rsidRPr="004C1E9E">
        <w:rPr>
          <w:rFonts w:eastAsia="Calibri"/>
          <w:sz w:val="21"/>
          <w:szCs w:val="21"/>
        </w:rPr>
        <w:t>Dot. 1.8 – Czy Zamawiający wymaga aby opisane w p. 1.8 kosze do endoskopów były wyposażone w dedykowane uchwyty zapobiegające przesuwaniu się kosza w trakcie procesu sterylizacji, a co za tym idzie jego ewentualnemu uszkodzeniu mechanicznemu?</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wymaga, aby opisane kosze wyposażone były w dedykowane uchwyty zapobiegające przesuwaniu się kosza w trakcie procesu sterylizacji.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18</w:t>
      </w:r>
    </w:p>
    <w:p w:rsidR="004C1E9E" w:rsidRPr="004C1E9E" w:rsidRDefault="004C1E9E" w:rsidP="005037EF">
      <w:pPr>
        <w:autoSpaceDE w:val="0"/>
        <w:spacing w:line="240" w:lineRule="auto"/>
        <w:jc w:val="both"/>
        <w:rPr>
          <w:b/>
          <w:bCs/>
          <w:sz w:val="21"/>
          <w:szCs w:val="21"/>
        </w:rPr>
      </w:pPr>
      <w:r w:rsidRPr="004C1E9E">
        <w:rPr>
          <w:rFonts w:eastAsia="Calibri"/>
          <w:sz w:val="21"/>
          <w:szCs w:val="21"/>
        </w:rPr>
        <w:t xml:space="preserve">Dot. 1.10 – Prosimy o doprecyzowanie czy Zamawiający wymaga aby zaoferowany sterylizator musiał korzystać z dedykowanych testów biologicznych oraz inkubatora czy też dopuszcza do użycia testy powszechnie dostępne na rynku (np. firmy 3M)? Wymóg korzystania z dedykowanych testów wpływa negatywnie na koszty użytkowania urządzenia. </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testy powszechnie dostępne na rynku.</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19</w:t>
      </w:r>
    </w:p>
    <w:p w:rsidR="004C1E9E" w:rsidRPr="004C1E9E" w:rsidRDefault="004C1E9E" w:rsidP="005037EF">
      <w:pPr>
        <w:autoSpaceDE w:val="0"/>
        <w:spacing w:line="240" w:lineRule="auto"/>
        <w:jc w:val="both"/>
        <w:rPr>
          <w:b/>
          <w:bCs/>
          <w:sz w:val="21"/>
          <w:szCs w:val="21"/>
        </w:rPr>
      </w:pPr>
      <w:r w:rsidRPr="004C1E9E">
        <w:rPr>
          <w:rFonts w:eastAsia="Calibri"/>
          <w:sz w:val="21"/>
          <w:szCs w:val="21"/>
        </w:rPr>
        <w:t>Dot. 1.10 – Czy w przypadku pozytywnej odpowiedzi na wcześniejsze pytanie Zamawiający odstąpi od wymogu dostarczenia wraz ze sterylizatorem zestawu testów biologicznych oraz inkubatora?</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w:t>
      </w:r>
      <w:r w:rsidRPr="004C1E9E">
        <w:rPr>
          <w:rFonts w:cs="Times New Roman"/>
          <w:b/>
          <w:sz w:val="21"/>
          <w:szCs w:val="21"/>
        </w:rPr>
        <w:t xml:space="preserve"> </w:t>
      </w:r>
      <w:r w:rsidRPr="004C1E9E">
        <w:rPr>
          <w:rFonts w:eastAsia="Calibri" w:cs="Times New Roman"/>
          <w:sz w:val="21"/>
          <w:szCs w:val="21"/>
        </w:rPr>
        <w:t>dostarczenie sterylizatora bez zestawu testów biologicznych oraz inkubatora do tych testów.</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20</w:t>
      </w:r>
    </w:p>
    <w:p w:rsidR="004C1E9E" w:rsidRPr="004C1E9E" w:rsidRDefault="004C1E9E" w:rsidP="005037EF">
      <w:pPr>
        <w:autoSpaceDE w:val="0"/>
        <w:spacing w:line="240" w:lineRule="auto"/>
        <w:jc w:val="both"/>
        <w:rPr>
          <w:b/>
          <w:bCs/>
          <w:sz w:val="21"/>
          <w:szCs w:val="21"/>
        </w:rPr>
      </w:pPr>
      <w:r w:rsidRPr="004C1E9E">
        <w:rPr>
          <w:rFonts w:eastAsia="Calibri"/>
          <w:sz w:val="21"/>
          <w:szCs w:val="21"/>
        </w:rPr>
        <w:t>Dot. 5.1 – Czy Zamawiający wymaga aby przeglądy okresowe obejmowały tylko dojazd i pracę serwisanta czy również koszty materiałów zużywalnych?</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wymaga aby przeglądy okresowe obejmowały wszystkie koszty</w:t>
      </w:r>
      <w:r w:rsidRPr="004C1E9E">
        <w:rPr>
          <w:sz w:val="21"/>
          <w:szCs w:val="21"/>
        </w:rPr>
        <w:t xml:space="preserve"> określone w SIWZ</w:t>
      </w:r>
      <w:r w:rsidRPr="004C1E9E">
        <w:rPr>
          <w:rFonts w:cs="Times New Roman"/>
          <w:sz w:val="21"/>
          <w:szCs w:val="21"/>
        </w:rPr>
        <w:t xml:space="preserve"> </w:t>
      </w:r>
      <w:r w:rsidRPr="004C1E9E">
        <w:rPr>
          <w:sz w:val="21"/>
          <w:szCs w:val="21"/>
        </w:rPr>
        <w:t>m.in.</w:t>
      </w:r>
      <w:r w:rsidRPr="004C1E9E">
        <w:rPr>
          <w:rFonts w:cs="Times New Roman"/>
          <w:sz w:val="21"/>
          <w:szCs w:val="21"/>
        </w:rPr>
        <w:t xml:space="preserve"> dojazd, pracę serwisanta oraz koszty materiałów zużywalnych.</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21</w:t>
      </w:r>
    </w:p>
    <w:p w:rsidR="004C1E9E" w:rsidRPr="004C1E9E" w:rsidRDefault="004C1E9E" w:rsidP="005037EF">
      <w:pPr>
        <w:autoSpaceDE w:val="0"/>
        <w:spacing w:line="240" w:lineRule="auto"/>
        <w:jc w:val="both"/>
        <w:rPr>
          <w:b/>
          <w:bCs/>
          <w:sz w:val="21"/>
          <w:szCs w:val="21"/>
        </w:rPr>
      </w:pPr>
      <w:r w:rsidRPr="004C1E9E">
        <w:rPr>
          <w:sz w:val="21"/>
          <w:szCs w:val="21"/>
        </w:rPr>
        <w:t xml:space="preserve">1.4 </w:t>
      </w:r>
      <w:r w:rsidRPr="004C1E9E">
        <w:rPr>
          <w:rFonts w:cs="Calibri"/>
          <w:sz w:val="21"/>
          <w:szCs w:val="21"/>
        </w:rPr>
        <w:t xml:space="preserve">– Zwracamy się z prośbą o dopuszczenie komory o głębokości 735 mm. Zaoferowana głębokość w niewielkim stopniu różni się od wymogów Zamawiającego. </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głębokość komory 735 mm jeżeli zmieszczą się tam kosze do sterylizacji endoskopów dostarczane przez Intuitve Surgical.</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22</w:t>
      </w:r>
    </w:p>
    <w:p w:rsidR="004C1E9E" w:rsidRPr="004C1E9E" w:rsidRDefault="004C1E9E" w:rsidP="005037EF">
      <w:pPr>
        <w:autoSpaceDE w:val="0"/>
        <w:spacing w:line="240" w:lineRule="auto"/>
        <w:jc w:val="both"/>
        <w:rPr>
          <w:b/>
          <w:bCs/>
          <w:sz w:val="21"/>
          <w:szCs w:val="21"/>
        </w:rPr>
      </w:pPr>
      <w:r w:rsidRPr="004C1E9E">
        <w:rPr>
          <w:sz w:val="21"/>
          <w:szCs w:val="21"/>
        </w:rPr>
        <w:t xml:space="preserve">1.10 </w:t>
      </w:r>
      <w:r w:rsidRPr="004C1E9E">
        <w:rPr>
          <w:rFonts w:cs="Calibri"/>
          <w:sz w:val="21"/>
          <w:szCs w:val="21"/>
        </w:rPr>
        <w:t xml:space="preserve">– Prosimy o dopuszczenie do oceny rozwiązania równoważnego stosowanego dla systemów sterylizacji plazmowej bardziej zaawansowanych niż opisane w podmiotowej siwz przez Zamawiającego: zestaw instalacyjno-rozruchowy pozwalający uruchomić urządzenie, zgodnie z certyfikatem, w konfiguracji do sterylizacji narzędzi daVinci Xi oraz X – Arkusze włókniny do pakowania, testy chemiczne typu 1, testy biologiczne szybkiego odczytu, inkubator do testów biologicznych, czynnik sterylizujący - wszystkie materiały w ilości wystarczającej do wykonania 60 cykli </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wymaga, aby testy chemiczne w połączenie z procedurami autotestu sterylizatora gwarantowały uzyskanie właściwego poziomu bezpieczeństwa.</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23</w:t>
      </w:r>
    </w:p>
    <w:p w:rsidR="004C1E9E" w:rsidRPr="004C1E9E" w:rsidRDefault="004C1E9E" w:rsidP="005037EF">
      <w:pPr>
        <w:autoSpaceDE w:val="0"/>
        <w:spacing w:line="240" w:lineRule="auto"/>
        <w:jc w:val="both"/>
        <w:rPr>
          <w:b/>
          <w:bCs/>
          <w:sz w:val="21"/>
          <w:szCs w:val="21"/>
        </w:rPr>
      </w:pPr>
      <w:r w:rsidRPr="004C1E9E">
        <w:rPr>
          <w:sz w:val="21"/>
          <w:szCs w:val="21"/>
        </w:rPr>
        <w:t xml:space="preserve">2.2 Prosimy o dopuszczenie sterylizatora plazmowego bardziej zaawansowanego technologicznie, </w:t>
      </w:r>
      <w:r w:rsidRPr="004C1E9E">
        <w:rPr>
          <w:rFonts w:cs="Calibri"/>
          <w:sz w:val="21"/>
          <w:szCs w:val="21"/>
        </w:rPr>
        <w:t xml:space="preserve">który automatycznie wykonuje test próżni – bez konieczności posiadania odrębnego cyklu.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sterylizator wykonujący automatycznie test próżni, bez konieczności posiadania odrębnego cyklu.</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24</w:t>
      </w:r>
    </w:p>
    <w:p w:rsidR="004C1E9E" w:rsidRPr="004C1E9E" w:rsidRDefault="004C1E9E" w:rsidP="005037EF">
      <w:pPr>
        <w:pStyle w:val="Default"/>
        <w:jc w:val="both"/>
        <w:rPr>
          <w:rFonts w:asciiTheme="minorHAnsi" w:hAnsiTheme="minorHAnsi"/>
          <w:b/>
          <w:bCs/>
          <w:sz w:val="21"/>
          <w:szCs w:val="21"/>
        </w:rPr>
      </w:pPr>
      <w:r w:rsidRPr="004C1E9E">
        <w:rPr>
          <w:rFonts w:asciiTheme="minorHAnsi" w:hAnsiTheme="minorHAnsi"/>
          <w:sz w:val="21"/>
          <w:szCs w:val="21"/>
        </w:rPr>
        <w:t xml:space="preserve">2.4 Prosimy o dopuszczenie do oceny sterylizatora </w:t>
      </w:r>
      <w:r w:rsidRPr="004C1E9E">
        <w:rPr>
          <w:rFonts w:asciiTheme="minorHAnsi" w:hAnsiTheme="minorHAnsi" w:cs="Calibri"/>
          <w:sz w:val="21"/>
          <w:szCs w:val="21"/>
        </w:rPr>
        <w:t xml:space="preserve">równoważnego, bardziej zaawansowanego technologicznie, który nie wymaga przeprowadzenia wstępnych impulsów osuszających próżni. Wstępne impulsy osuszające próżni wskazują tylko i wyłącznie na </w:t>
      </w:r>
      <w:r w:rsidRPr="004C1E9E">
        <w:rPr>
          <w:rFonts w:asciiTheme="minorHAnsi" w:hAnsiTheme="minorHAnsi"/>
          <w:sz w:val="21"/>
          <w:szCs w:val="21"/>
        </w:rPr>
        <w:t xml:space="preserve">jednego producenta </w:t>
      </w:r>
      <w:r w:rsidRPr="004C1E9E">
        <w:rPr>
          <w:rFonts w:asciiTheme="minorHAnsi" w:hAnsiTheme="minorHAnsi" w:cs="Calibri"/>
          <w:sz w:val="21"/>
          <w:szCs w:val="21"/>
        </w:rPr>
        <w:t>– firmę Steris, producenta sterylizatorów niskotemperaturowych V-PRO.</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rozwiązanie równoważne o ile gwarantuje ono spełnienie wymogów certyfikacji Intuitive Surgical dotyczących sterylizacji endoskopów daVivci Xi.</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25</w:t>
      </w:r>
    </w:p>
    <w:p w:rsidR="004C1E9E" w:rsidRPr="004C1E9E" w:rsidRDefault="004C1E9E" w:rsidP="005037EF">
      <w:pPr>
        <w:autoSpaceDE w:val="0"/>
        <w:spacing w:line="240" w:lineRule="auto"/>
        <w:jc w:val="both"/>
        <w:rPr>
          <w:b/>
          <w:bCs/>
          <w:sz w:val="21"/>
          <w:szCs w:val="21"/>
        </w:rPr>
      </w:pPr>
      <w:r w:rsidRPr="004C1E9E">
        <w:rPr>
          <w:sz w:val="21"/>
          <w:szCs w:val="21"/>
        </w:rPr>
        <w:t xml:space="preserve">2.5 Prosimy o możliwość </w:t>
      </w:r>
      <w:r w:rsidRPr="004C1E9E">
        <w:rPr>
          <w:rFonts w:cs="Calibri"/>
          <w:sz w:val="21"/>
          <w:szCs w:val="21"/>
        </w:rPr>
        <w:t xml:space="preserve">zaoferowania sterylizatora bardziej zaawansowanego technologicznie z dwukrotną ekspozycją na nadtlenek wodoru, co gwarantuje poziom sterylności do 6 log i zgodność z normą ISO14937. Czterokrotna ekspozycja na nadtlenek wodoru występuje tylko w urządzeniach V-PRO, których producentem jest firma Steris.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rozwiązanie równoważne o ile gwarantuje ono spełnienie wymogów certyfikacji Intuitive Surgical dotyczących sterylizacji endoskopów daVivci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26</w:t>
      </w:r>
    </w:p>
    <w:p w:rsidR="004C1E9E" w:rsidRPr="004C1E9E" w:rsidRDefault="004C1E9E" w:rsidP="005037EF">
      <w:pPr>
        <w:autoSpaceDE w:val="0"/>
        <w:spacing w:line="240" w:lineRule="auto"/>
        <w:jc w:val="both"/>
        <w:rPr>
          <w:b/>
          <w:bCs/>
          <w:sz w:val="21"/>
          <w:szCs w:val="21"/>
        </w:rPr>
      </w:pPr>
      <w:r w:rsidRPr="004C1E9E">
        <w:rPr>
          <w:sz w:val="21"/>
          <w:szCs w:val="21"/>
        </w:rPr>
        <w:t>2.6 Prosimy o dopuszczenie do oceny rozwi</w:t>
      </w:r>
      <w:r w:rsidRPr="004C1E9E">
        <w:rPr>
          <w:rFonts w:cs="Calibri"/>
          <w:sz w:val="21"/>
          <w:szCs w:val="21"/>
        </w:rPr>
        <w:t xml:space="preserve">ązania równoważnego, bardziej zaawansowanego technologicznie, które nie wymaga pulsacyjnego napowietrzania komory. Pulsacyjne napowietrzanie komory występuje tylko w urządzeniach V-PRO, których producentem jest firma Steris. </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rozwiązanie równoważne o ile gwarantuje ono spełnienie wymogów certyfikacji Intuitive Surgical dotyczących sterylizacji endoskopów daVivci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27</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Dot. Rozdziału V SIWZ (Termin wykonania zamówienia): </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Prosimy o wydłużenie terminu do 60 dni od dnia podpisania umowy. </w:t>
      </w:r>
    </w:p>
    <w:p w:rsidR="004C1E9E" w:rsidRPr="004C1E9E" w:rsidRDefault="004C1E9E" w:rsidP="005037EF">
      <w:pPr>
        <w:autoSpaceDE w:val="0"/>
        <w:spacing w:line="240" w:lineRule="auto"/>
        <w:jc w:val="both"/>
        <w:rPr>
          <w:b/>
          <w:bCs/>
          <w:sz w:val="21"/>
          <w:szCs w:val="21"/>
        </w:rPr>
      </w:pPr>
      <w:r w:rsidRPr="004C1E9E">
        <w:rPr>
          <w:sz w:val="21"/>
          <w:szCs w:val="21"/>
        </w:rPr>
        <w:t xml:space="preserve">Uzasadnienie: Sterylizatory plazmowe o opisanych parametrach nie są produkowane na tzw. magazyn, ale pod konkretne zamówienie. Okres produkcji tego typu urządzenia wynosi od 6 do 10 tygodni niezależnie od producenta. Wymóg realizacji dostawy, montażu, uruchomienia i szkolenia personelu w ciągu 7 dni od podpisania umowy wskazuje, że potencjalny wykonawca już ma urządzenie gotowe. </w:t>
      </w:r>
      <w:r w:rsidRPr="004C1E9E">
        <w:rPr>
          <w:rFonts w:cs="Calibri"/>
          <w:color w:val="000000"/>
          <w:sz w:val="21"/>
          <w:szCs w:val="21"/>
        </w:rPr>
        <w:t xml:space="preserve"> </w:t>
      </w:r>
      <w:r w:rsidRPr="004C1E9E">
        <w:rPr>
          <w:rFonts w:eastAsia="Calibri"/>
          <w:iCs/>
          <w:sz w:val="21"/>
          <w:szCs w:val="21"/>
        </w:rPr>
        <w:t xml:space="preserve"> </w:t>
      </w:r>
    </w:p>
    <w:p w:rsidR="005037EF" w:rsidRDefault="005037EF"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nie dopuszcza dłuższego terminu wykonania zamówienia. Termin ten wynika z dat ważności certyfikatów do pracy z robotem daVinci uzyskanych przez zespoły operacyjne i jego przekroczenie spowodowałoby konieczność powtórzenia całego cyklu szkoleń i certyfikacji zespołów.</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28</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Dot. Załącznika nr 2 do SIWZ, (pkt 1.4 tabeli): </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Czy Zamawiający dopuści komorę o głębokości 71cm z możliwością sterylizacji instrumentów o długości 80cm? </w:t>
      </w:r>
      <w:r w:rsidRPr="004C1E9E">
        <w:rPr>
          <w:rFonts w:asciiTheme="minorHAnsi" w:eastAsia="Calibri" w:hAnsiTheme="minorHAns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dopuszcza głębokość komory 71 cm jeżeli zmieszczą się tam kosze do sterylizacji endoskopów dostarczane przez Intuitve Surgical.</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29</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Dot. Załącznika nr 2 do SIWZ, (pkt 1.5 tabeli): </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Czy Zamawiający dopuści komorę wykonaną ze stali nierdzewnej?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Zgodnie z SIWZ - Zamawiający wymaga, aby komora wykonana była z aluminium.</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30</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Dot. Załącznika nr 2 do SIWZ, (pkt 2.2 tabeli): </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Czy Zamawiający dopuści urządzenie nie wymagające przeprowadzania cyklu testowego - testu próżni i nie posiadające takiego cyklu?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dopuści urządzenie nie wymagające przeprowadzenia cyklu testowego – testu próżni i nie posiadające takiego cyklu.</w:t>
      </w:r>
    </w:p>
    <w:p w:rsidR="004C1E9E" w:rsidRPr="004C1E9E" w:rsidRDefault="004C1E9E" w:rsidP="005037EF">
      <w:pPr>
        <w:autoSpaceDE w:val="0"/>
        <w:spacing w:line="240" w:lineRule="auto"/>
        <w:jc w:val="both"/>
        <w:rPr>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31</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Dot. Załącznika nr 2 do SIWZ, (pkt 2.5 tabeli): </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Czy Zamawiający dopuści urządzenie z dwukrotną ekspozycją H2O2?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Zamawiający dopuści urządzenie z dwukrotna ekspozycją  o ile gwarantuje to spełnienie wymogów certyfikacji Intuitive Surgical dotyczących sterylizacji endoskopów daVivci Xi.</w:t>
      </w:r>
    </w:p>
    <w:p w:rsidR="004C1E9E" w:rsidRPr="004C1E9E" w:rsidRDefault="004C1E9E" w:rsidP="005037EF">
      <w:pPr>
        <w:autoSpaceDE w:val="0"/>
        <w:spacing w:line="240" w:lineRule="auto"/>
        <w:jc w:val="both"/>
        <w:rPr>
          <w:b/>
          <w:bCs/>
          <w:sz w:val="21"/>
          <w:szCs w:val="21"/>
        </w:rPr>
      </w:pPr>
    </w:p>
    <w:p w:rsidR="004C1E9E" w:rsidRPr="004C1E9E" w:rsidRDefault="004C1E9E" w:rsidP="005037EF">
      <w:pPr>
        <w:autoSpaceDE w:val="0"/>
        <w:spacing w:line="240" w:lineRule="auto"/>
        <w:jc w:val="both"/>
        <w:rPr>
          <w:sz w:val="21"/>
          <w:szCs w:val="21"/>
        </w:rPr>
      </w:pPr>
      <w:r w:rsidRPr="004C1E9E">
        <w:rPr>
          <w:b/>
          <w:bCs/>
          <w:sz w:val="21"/>
          <w:szCs w:val="21"/>
        </w:rPr>
        <w:t>Pytanie 32</w:t>
      </w:r>
    </w:p>
    <w:p w:rsidR="004C1E9E" w:rsidRPr="004C1E9E" w:rsidRDefault="004C1E9E" w:rsidP="005037EF">
      <w:pPr>
        <w:pStyle w:val="Default"/>
        <w:jc w:val="both"/>
        <w:rPr>
          <w:rFonts w:asciiTheme="minorHAnsi" w:hAnsiTheme="minorHAnsi"/>
          <w:sz w:val="21"/>
          <w:szCs w:val="21"/>
        </w:rPr>
      </w:pPr>
      <w:r w:rsidRPr="004C1E9E">
        <w:rPr>
          <w:rFonts w:asciiTheme="minorHAnsi" w:hAnsiTheme="minorHAnsi"/>
          <w:sz w:val="21"/>
          <w:szCs w:val="21"/>
        </w:rPr>
        <w:t xml:space="preserve">Umowa – kary: </w:t>
      </w:r>
    </w:p>
    <w:p w:rsidR="004C1E9E" w:rsidRPr="004C1E9E" w:rsidRDefault="004C1E9E" w:rsidP="005037EF">
      <w:pPr>
        <w:autoSpaceDE w:val="0"/>
        <w:spacing w:line="240" w:lineRule="auto"/>
        <w:jc w:val="both"/>
        <w:rPr>
          <w:b/>
          <w:bCs/>
          <w:sz w:val="21"/>
          <w:szCs w:val="21"/>
        </w:rPr>
      </w:pPr>
      <w:r w:rsidRPr="004C1E9E">
        <w:rPr>
          <w:sz w:val="21"/>
          <w:szCs w:val="21"/>
        </w:rPr>
        <w:t xml:space="preserve">Prosimy o obniżenie kar do 0,5% - par 9, pkt 1, a) </w:t>
      </w:r>
      <w:r w:rsidRPr="004C1E9E">
        <w:rPr>
          <w:rFonts w:cs="Calibri"/>
          <w:color w:val="000000"/>
          <w:sz w:val="21"/>
          <w:szCs w:val="21"/>
        </w:rPr>
        <w:t xml:space="preserve"> </w:t>
      </w:r>
      <w:r w:rsidRPr="004C1E9E">
        <w:rPr>
          <w:rFonts w:eastAsia="Calibri"/>
          <w:iCs/>
          <w:sz w:val="21"/>
          <w:szCs w:val="21"/>
        </w:rPr>
        <w:t xml:space="preserve"> </w:t>
      </w:r>
    </w:p>
    <w:p w:rsidR="004C1E9E" w:rsidRPr="004C1E9E" w:rsidRDefault="004C1E9E" w:rsidP="005037EF">
      <w:pPr>
        <w:autoSpaceDE w:val="0"/>
        <w:spacing w:line="240" w:lineRule="auto"/>
        <w:jc w:val="both"/>
        <w:rPr>
          <w:bCs/>
          <w:sz w:val="21"/>
          <w:szCs w:val="21"/>
        </w:rPr>
      </w:pPr>
      <w:r w:rsidRPr="004C1E9E">
        <w:rPr>
          <w:b/>
          <w:bCs/>
          <w:sz w:val="21"/>
          <w:szCs w:val="21"/>
        </w:rPr>
        <w:t>Odpowiedź:</w:t>
      </w:r>
    </w:p>
    <w:p w:rsidR="004C1E9E" w:rsidRPr="004C1E9E" w:rsidRDefault="004C1E9E" w:rsidP="005037EF">
      <w:pPr>
        <w:autoSpaceDE w:val="0"/>
        <w:spacing w:line="240" w:lineRule="auto"/>
        <w:jc w:val="both"/>
        <w:rPr>
          <w:b/>
          <w:bCs/>
          <w:sz w:val="21"/>
          <w:szCs w:val="21"/>
        </w:rPr>
      </w:pPr>
      <w:r w:rsidRPr="004C1E9E">
        <w:rPr>
          <w:rFonts w:cs="Times New Roman"/>
          <w:sz w:val="21"/>
          <w:szCs w:val="21"/>
        </w:rPr>
        <w:t>Zgodnie z SIWZ</w:t>
      </w:r>
      <w:r w:rsidRPr="004C1E9E">
        <w:rPr>
          <w:bCs/>
          <w:sz w:val="21"/>
          <w:szCs w:val="21"/>
        </w:rPr>
        <w:t>.</w:t>
      </w:r>
    </w:p>
    <w:p w:rsidR="0078081C" w:rsidRPr="004C1E9E" w:rsidRDefault="0078081C" w:rsidP="005037EF">
      <w:pPr>
        <w:spacing w:line="240" w:lineRule="auto"/>
        <w:jc w:val="both"/>
        <w:rPr>
          <w:rFonts w:cs="Times New Roman"/>
          <w:b/>
          <w:bCs/>
          <w:sz w:val="21"/>
          <w:szCs w:val="21"/>
        </w:rPr>
      </w:pPr>
    </w:p>
    <w:p w:rsidR="0055259A" w:rsidRPr="004C1E9E" w:rsidRDefault="0055259A" w:rsidP="005037EF">
      <w:pPr>
        <w:spacing w:line="240" w:lineRule="auto"/>
        <w:jc w:val="both"/>
        <w:rPr>
          <w:rFonts w:cs="Times New Roman"/>
          <w:b/>
          <w:bCs/>
          <w:sz w:val="21"/>
          <w:szCs w:val="21"/>
        </w:rPr>
      </w:pPr>
      <w:r w:rsidRPr="004C1E9E">
        <w:rPr>
          <w:rFonts w:cs="Times New Roman"/>
          <w:b/>
          <w:bCs/>
          <w:sz w:val="21"/>
          <w:szCs w:val="21"/>
        </w:rPr>
        <w:t>Zamawiający wyznacza nowy termin składania i otwarcia ofert:</w:t>
      </w:r>
    </w:p>
    <w:p w:rsidR="0055259A" w:rsidRPr="004C1E9E" w:rsidRDefault="0055259A" w:rsidP="005037EF">
      <w:pPr>
        <w:spacing w:line="240" w:lineRule="auto"/>
        <w:jc w:val="both"/>
        <w:rPr>
          <w:rFonts w:cs="Times New Roman"/>
          <w:bCs/>
          <w:sz w:val="21"/>
          <w:szCs w:val="21"/>
        </w:rPr>
      </w:pPr>
      <w:r w:rsidRPr="004C1E9E">
        <w:rPr>
          <w:rFonts w:cs="Times New Roman"/>
          <w:bCs/>
          <w:sz w:val="21"/>
          <w:szCs w:val="21"/>
        </w:rPr>
        <w:t xml:space="preserve">- składanie ofert do </w:t>
      </w:r>
      <w:r w:rsidR="004C1E9E">
        <w:rPr>
          <w:rFonts w:cs="Times New Roman"/>
          <w:b/>
          <w:bCs/>
          <w:sz w:val="21"/>
          <w:szCs w:val="21"/>
        </w:rPr>
        <w:t>21</w:t>
      </w:r>
      <w:r w:rsidRPr="004C1E9E">
        <w:rPr>
          <w:rFonts w:cs="Times New Roman"/>
          <w:b/>
          <w:bCs/>
          <w:sz w:val="21"/>
          <w:szCs w:val="21"/>
        </w:rPr>
        <w:t>-0</w:t>
      </w:r>
      <w:r w:rsidR="004C1E9E">
        <w:rPr>
          <w:rFonts w:cs="Times New Roman"/>
          <w:b/>
          <w:bCs/>
          <w:sz w:val="21"/>
          <w:szCs w:val="21"/>
        </w:rPr>
        <w:t>7</w:t>
      </w:r>
      <w:r w:rsidRPr="004C1E9E">
        <w:rPr>
          <w:rFonts w:cs="Times New Roman"/>
          <w:b/>
          <w:bCs/>
          <w:sz w:val="21"/>
          <w:szCs w:val="21"/>
        </w:rPr>
        <w:t>-2020 r.</w:t>
      </w:r>
      <w:r w:rsidRPr="004C1E9E">
        <w:rPr>
          <w:rFonts w:cs="Times New Roman"/>
          <w:bCs/>
          <w:sz w:val="21"/>
          <w:szCs w:val="21"/>
        </w:rPr>
        <w:t xml:space="preserve"> do godz. 09.30,</w:t>
      </w:r>
    </w:p>
    <w:p w:rsidR="0055259A" w:rsidRPr="004C1E9E" w:rsidRDefault="0055259A" w:rsidP="005037EF">
      <w:pPr>
        <w:spacing w:line="240" w:lineRule="auto"/>
        <w:jc w:val="both"/>
        <w:rPr>
          <w:rFonts w:cs="Times New Roman"/>
          <w:b/>
          <w:bCs/>
          <w:sz w:val="21"/>
          <w:szCs w:val="21"/>
          <w:u w:val="single"/>
        </w:rPr>
      </w:pPr>
      <w:r w:rsidRPr="004C1E9E">
        <w:rPr>
          <w:rFonts w:cs="Times New Roman"/>
          <w:bCs/>
          <w:sz w:val="21"/>
          <w:szCs w:val="21"/>
        </w:rPr>
        <w:t xml:space="preserve">- otwarcie ofert: </w:t>
      </w:r>
      <w:r w:rsidRPr="004C1E9E">
        <w:rPr>
          <w:rFonts w:cs="Times New Roman"/>
          <w:b/>
          <w:bCs/>
          <w:sz w:val="21"/>
          <w:szCs w:val="21"/>
        </w:rPr>
        <w:t>2</w:t>
      </w:r>
      <w:r w:rsidR="004C1E9E">
        <w:rPr>
          <w:rFonts w:cs="Times New Roman"/>
          <w:b/>
          <w:bCs/>
          <w:sz w:val="21"/>
          <w:szCs w:val="21"/>
        </w:rPr>
        <w:t>1</w:t>
      </w:r>
      <w:r w:rsidRPr="004C1E9E">
        <w:rPr>
          <w:rFonts w:cs="Times New Roman"/>
          <w:b/>
          <w:bCs/>
          <w:sz w:val="21"/>
          <w:szCs w:val="21"/>
        </w:rPr>
        <w:t>-0</w:t>
      </w:r>
      <w:r w:rsidR="004C1E9E">
        <w:rPr>
          <w:rFonts w:cs="Times New Roman"/>
          <w:b/>
          <w:bCs/>
          <w:sz w:val="21"/>
          <w:szCs w:val="21"/>
        </w:rPr>
        <w:t>7</w:t>
      </w:r>
      <w:r w:rsidRPr="004C1E9E">
        <w:rPr>
          <w:rFonts w:cs="Times New Roman"/>
          <w:b/>
          <w:bCs/>
          <w:sz w:val="21"/>
          <w:szCs w:val="21"/>
        </w:rPr>
        <w:t>-2020 r</w:t>
      </w:r>
      <w:r w:rsidRPr="004C1E9E">
        <w:rPr>
          <w:rFonts w:cs="Times New Roman"/>
          <w:bCs/>
          <w:sz w:val="21"/>
          <w:szCs w:val="21"/>
        </w:rPr>
        <w:t xml:space="preserve">. </w:t>
      </w:r>
      <w:r w:rsidRPr="004C1E9E">
        <w:rPr>
          <w:rFonts w:cs="Times New Roman"/>
          <w:b/>
          <w:bCs/>
          <w:sz w:val="21"/>
          <w:szCs w:val="21"/>
          <w:u w:val="single"/>
        </w:rPr>
        <w:t>o godz. 10.00.</w:t>
      </w:r>
    </w:p>
    <w:p w:rsidR="0055259A" w:rsidRPr="004C1E9E" w:rsidRDefault="0055259A" w:rsidP="005037EF">
      <w:pPr>
        <w:spacing w:line="240" w:lineRule="auto"/>
        <w:jc w:val="both"/>
        <w:rPr>
          <w:rFonts w:cs="Times New Roman"/>
          <w:bCs/>
          <w:sz w:val="21"/>
          <w:szCs w:val="21"/>
        </w:rPr>
      </w:pPr>
      <w:r w:rsidRPr="004C1E9E">
        <w:rPr>
          <w:rFonts w:cs="Times New Roman"/>
          <w:bCs/>
          <w:sz w:val="21"/>
          <w:szCs w:val="21"/>
        </w:rPr>
        <w:t>Miejsce składania i otwarcia ofert pozostają bez zmian.</w:t>
      </w:r>
    </w:p>
    <w:p w:rsidR="0031785D" w:rsidRPr="004C1E9E" w:rsidRDefault="0031785D" w:rsidP="00340C62">
      <w:pPr>
        <w:spacing w:line="240" w:lineRule="auto"/>
        <w:jc w:val="both"/>
        <w:rPr>
          <w:rFonts w:cs="Times New Roman"/>
          <w:sz w:val="21"/>
          <w:szCs w:val="21"/>
          <w:lang w:eastAsia="pl-PL"/>
        </w:rPr>
      </w:pPr>
    </w:p>
    <w:p w:rsidR="00883CDE" w:rsidRPr="004C1E9E" w:rsidRDefault="00883CDE" w:rsidP="00340C62">
      <w:pPr>
        <w:spacing w:line="240" w:lineRule="auto"/>
        <w:jc w:val="both"/>
        <w:rPr>
          <w:rFonts w:cs="Times New Roman"/>
          <w:sz w:val="21"/>
          <w:szCs w:val="21"/>
        </w:rPr>
      </w:pPr>
      <w:r w:rsidRPr="004C1E9E">
        <w:rPr>
          <w:rFonts w:cs="Times New Roman"/>
          <w:sz w:val="21"/>
          <w:szCs w:val="21"/>
          <w:lang w:eastAsia="pl-PL"/>
        </w:rPr>
        <w:t>Wykonawcy są zobowiązani uwzględnić powyższe wyjaśnienia podczas sporządzania i składania ofert.</w:t>
      </w:r>
    </w:p>
    <w:p w:rsidR="00883CDE" w:rsidRPr="004C1E9E" w:rsidRDefault="00883CDE" w:rsidP="00A52329">
      <w:pPr>
        <w:widowControl w:val="0"/>
        <w:spacing w:line="240" w:lineRule="auto"/>
        <w:ind w:left="4956" w:firstLine="708"/>
        <w:jc w:val="both"/>
        <w:rPr>
          <w:rFonts w:cs="Times New Roman"/>
          <w:b/>
          <w:i/>
          <w:sz w:val="21"/>
          <w:szCs w:val="21"/>
        </w:rPr>
      </w:pPr>
      <w:r w:rsidRPr="004C1E9E">
        <w:rPr>
          <w:rFonts w:cs="Times New Roman"/>
          <w:b/>
          <w:i/>
          <w:sz w:val="21"/>
          <w:szCs w:val="21"/>
        </w:rPr>
        <w:t>Z poważaniem</w:t>
      </w:r>
    </w:p>
    <w:bookmarkEnd w:id="2"/>
    <w:p w:rsidR="007A4D73" w:rsidRPr="004C1E9E" w:rsidRDefault="004C1E9E" w:rsidP="007A4D73">
      <w:pPr>
        <w:widowControl w:val="0"/>
        <w:spacing w:line="240" w:lineRule="auto"/>
        <w:ind w:left="4956"/>
        <w:jc w:val="both"/>
        <w:rPr>
          <w:rFonts w:cs="Times New Roman"/>
          <w:sz w:val="21"/>
          <w:szCs w:val="21"/>
        </w:rPr>
      </w:pPr>
      <w:r>
        <w:rPr>
          <w:rFonts w:cs="Times New Roman"/>
          <w:sz w:val="21"/>
          <w:szCs w:val="21"/>
        </w:rPr>
        <w:t xml:space="preserve">  </w:t>
      </w:r>
      <w:r w:rsidR="007A4D73" w:rsidRPr="004C1E9E">
        <w:rPr>
          <w:rFonts w:cs="Times New Roman"/>
          <w:sz w:val="21"/>
          <w:szCs w:val="21"/>
        </w:rPr>
        <w:t>Dyrektor SPSK-2 w Szczecinie</w:t>
      </w:r>
    </w:p>
    <w:p w:rsidR="001033E0" w:rsidRPr="004C1E9E" w:rsidRDefault="007A4D73" w:rsidP="00B30A39">
      <w:pPr>
        <w:widowControl w:val="0"/>
        <w:spacing w:line="240" w:lineRule="auto"/>
        <w:jc w:val="both"/>
        <w:rPr>
          <w:rFonts w:cs="Times New Roman"/>
          <w:sz w:val="21"/>
          <w:szCs w:val="21"/>
        </w:rPr>
      </w:pPr>
      <w:r w:rsidRPr="004C1E9E">
        <w:rPr>
          <w:rFonts w:cs="Times New Roman"/>
          <w:sz w:val="21"/>
          <w:szCs w:val="21"/>
        </w:rPr>
        <w:t xml:space="preserve">     </w:t>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r>
      <w:r w:rsidRPr="004C1E9E">
        <w:rPr>
          <w:rFonts w:cs="Times New Roman"/>
          <w:sz w:val="21"/>
          <w:szCs w:val="21"/>
        </w:rPr>
        <w:tab/>
        <w:t xml:space="preserve">     </w:t>
      </w:r>
      <w:r w:rsidR="004C1E9E">
        <w:rPr>
          <w:rFonts w:cs="Times New Roman"/>
          <w:sz w:val="21"/>
          <w:szCs w:val="21"/>
        </w:rPr>
        <w:t xml:space="preserve">    </w:t>
      </w:r>
      <w:r w:rsidRPr="004C1E9E">
        <w:rPr>
          <w:rFonts w:cs="Times New Roman"/>
          <w:sz w:val="21"/>
          <w:szCs w:val="21"/>
        </w:rPr>
        <w:t>PODPIS W ORYGINALE</w:t>
      </w:r>
    </w:p>
    <w:p w:rsidR="009B13C4" w:rsidRPr="004C1E9E" w:rsidRDefault="009B13C4" w:rsidP="00B30A39">
      <w:pPr>
        <w:widowControl w:val="0"/>
        <w:spacing w:line="240" w:lineRule="auto"/>
        <w:jc w:val="both"/>
        <w:rPr>
          <w:rFonts w:cs="Times New Roman"/>
          <w:sz w:val="21"/>
          <w:szCs w:val="21"/>
        </w:rPr>
      </w:pPr>
    </w:p>
    <w:p w:rsidR="00964DE6" w:rsidRPr="004C1E9E" w:rsidRDefault="00964DE6"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4C1E9E" w:rsidRDefault="004C1E9E" w:rsidP="00964DE6">
      <w:pPr>
        <w:widowControl w:val="0"/>
        <w:spacing w:line="240" w:lineRule="auto"/>
        <w:jc w:val="both"/>
        <w:rPr>
          <w:rFonts w:cs="Times New Roman"/>
          <w:sz w:val="21"/>
          <w:szCs w:val="21"/>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5037EF" w:rsidRDefault="005037EF" w:rsidP="00964DE6">
      <w:pPr>
        <w:widowControl w:val="0"/>
        <w:spacing w:line="240" w:lineRule="auto"/>
        <w:jc w:val="both"/>
        <w:rPr>
          <w:rFonts w:cs="Times New Roman"/>
          <w:sz w:val="18"/>
          <w:szCs w:val="18"/>
        </w:rPr>
      </w:pPr>
    </w:p>
    <w:p w:rsidR="00E93CFD" w:rsidRPr="004C1E9E" w:rsidRDefault="003B0D27" w:rsidP="00964DE6">
      <w:pPr>
        <w:widowControl w:val="0"/>
        <w:spacing w:line="240" w:lineRule="auto"/>
        <w:jc w:val="both"/>
        <w:rPr>
          <w:rFonts w:cs="Times New Roman"/>
          <w:sz w:val="18"/>
          <w:szCs w:val="18"/>
        </w:rPr>
      </w:pPr>
      <w:bookmarkStart w:id="3" w:name="_GoBack"/>
      <w:bookmarkEnd w:id="3"/>
      <w:r w:rsidRPr="004C1E9E">
        <w:rPr>
          <w:rFonts w:cs="Times New Roman"/>
          <w:sz w:val="18"/>
          <w:szCs w:val="18"/>
        </w:rPr>
        <w:t>Sprawę prowadzi (opracował</w:t>
      </w:r>
      <w:r w:rsidR="00F202B8" w:rsidRPr="004C1E9E">
        <w:rPr>
          <w:rFonts w:cs="Times New Roman"/>
          <w:sz w:val="18"/>
          <w:szCs w:val="18"/>
        </w:rPr>
        <w:t>a</w:t>
      </w:r>
      <w:r w:rsidRPr="004C1E9E">
        <w:rPr>
          <w:rFonts w:cs="Times New Roman"/>
          <w:sz w:val="18"/>
          <w:szCs w:val="18"/>
        </w:rPr>
        <w:t xml:space="preserve">): </w:t>
      </w:r>
    </w:p>
    <w:p w:rsidR="00B5430B" w:rsidRPr="004C1E9E" w:rsidRDefault="00F202B8" w:rsidP="00964DE6">
      <w:pPr>
        <w:widowControl w:val="0"/>
        <w:spacing w:line="240" w:lineRule="auto"/>
        <w:jc w:val="both"/>
        <w:rPr>
          <w:rFonts w:cs="Times New Roman"/>
          <w:sz w:val="18"/>
          <w:szCs w:val="18"/>
          <w:lang w:eastAsia="pl-PL"/>
        </w:rPr>
      </w:pPr>
      <w:r w:rsidRPr="004C1E9E">
        <w:rPr>
          <w:rFonts w:cs="Times New Roman"/>
          <w:sz w:val="18"/>
          <w:szCs w:val="18"/>
        </w:rPr>
        <w:t xml:space="preserve">Eliza Koladyńska </w:t>
      </w:r>
      <w:r w:rsidR="00B30A39" w:rsidRPr="004C1E9E">
        <w:rPr>
          <w:rFonts w:cs="Times New Roman"/>
          <w:sz w:val="18"/>
          <w:szCs w:val="18"/>
        </w:rPr>
        <w:t>–</w:t>
      </w:r>
      <w:r w:rsidRPr="004C1E9E">
        <w:rPr>
          <w:rFonts w:cs="Times New Roman"/>
          <w:sz w:val="18"/>
          <w:szCs w:val="18"/>
        </w:rPr>
        <w:t xml:space="preserve"> Nowacka</w:t>
      </w:r>
      <w:r w:rsidR="00B30A39" w:rsidRPr="004C1E9E">
        <w:rPr>
          <w:rFonts w:cs="Times New Roman"/>
          <w:sz w:val="18"/>
          <w:szCs w:val="18"/>
        </w:rPr>
        <w:t xml:space="preserve">, </w:t>
      </w:r>
      <w:r w:rsidR="003B0D27" w:rsidRPr="004C1E9E">
        <w:rPr>
          <w:rFonts w:cs="Times New Roman"/>
          <w:sz w:val="18"/>
          <w:szCs w:val="18"/>
        </w:rPr>
        <w:t xml:space="preserve">tel. </w:t>
      </w:r>
      <w:r w:rsidRPr="004C1E9E">
        <w:rPr>
          <w:rFonts w:cs="Times New Roman"/>
          <w:sz w:val="18"/>
          <w:szCs w:val="18"/>
        </w:rPr>
        <w:t>91-466-1086</w:t>
      </w:r>
    </w:p>
    <w:sectPr w:rsidR="00B5430B" w:rsidRPr="004C1E9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037EF">
      <w:rPr>
        <w:b/>
        <w:bCs/>
        <w:noProof/>
      </w:rPr>
      <w:t>6</w:t>
    </w:r>
    <w:r w:rsidRPr="006E69D8">
      <w:rPr>
        <w:b/>
        <w:bCs/>
      </w:rPr>
      <w:fldChar w:fldCharType="end"/>
    </w:r>
    <w:r w:rsidR="006E69D8" w:rsidRPr="006E69D8">
      <w:t xml:space="preserve"> / </w:t>
    </w:r>
    <w:fldSimple w:instr="NUMPAGES  \* Arabic  \* MERGEFORMAT">
      <w:r w:rsidR="005037EF">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A711D1">
      <w:rPr>
        <w:rFonts w:cstheme="minorHAnsi"/>
      </w:rPr>
      <w:t>1</w:t>
    </w:r>
    <w:r w:rsidR="004C1E9E">
      <w:rPr>
        <w:rFonts w:cstheme="minorHAnsi"/>
      </w:rPr>
      <w:t>5</w:t>
    </w:r>
    <w:r w:rsidR="00182086">
      <w:rPr>
        <w:rFonts w:cstheme="minorHAnsi"/>
      </w:rPr>
      <w:t>-</w:t>
    </w:r>
    <w:r w:rsidR="00D73922">
      <w:rPr>
        <w:rFonts w:cstheme="minorHAnsi"/>
      </w:rPr>
      <w:t>0</w:t>
    </w:r>
    <w:r w:rsidR="004C1E9E">
      <w:rPr>
        <w:rFonts w:cstheme="minorHAnsi"/>
      </w:rPr>
      <w:t>7</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B27E7"/>
    <w:rsid w:val="002D3728"/>
    <w:rsid w:val="002D6FA8"/>
    <w:rsid w:val="002F497A"/>
    <w:rsid w:val="00306E71"/>
    <w:rsid w:val="00310B40"/>
    <w:rsid w:val="0031785D"/>
    <w:rsid w:val="00340C62"/>
    <w:rsid w:val="003524FF"/>
    <w:rsid w:val="0036340B"/>
    <w:rsid w:val="00366617"/>
    <w:rsid w:val="003707C3"/>
    <w:rsid w:val="003A23C4"/>
    <w:rsid w:val="003B0D27"/>
    <w:rsid w:val="003D6A25"/>
    <w:rsid w:val="003F3EDA"/>
    <w:rsid w:val="00401776"/>
    <w:rsid w:val="00431AA2"/>
    <w:rsid w:val="0043584D"/>
    <w:rsid w:val="00444C5C"/>
    <w:rsid w:val="004503FB"/>
    <w:rsid w:val="004546F9"/>
    <w:rsid w:val="004601DD"/>
    <w:rsid w:val="004640AA"/>
    <w:rsid w:val="0049442F"/>
    <w:rsid w:val="0049795C"/>
    <w:rsid w:val="004A3D3E"/>
    <w:rsid w:val="004C1E9E"/>
    <w:rsid w:val="005037EF"/>
    <w:rsid w:val="00510338"/>
    <w:rsid w:val="005169AC"/>
    <w:rsid w:val="00547609"/>
    <w:rsid w:val="0055259A"/>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2EF4-4B9B-44FA-B513-16592CCF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2117</Words>
  <Characters>12705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17</cp:revision>
  <cp:lastPrinted>2019-11-05T09:01:00Z</cp:lastPrinted>
  <dcterms:created xsi:type="dcterms:W3CDTF">2020-04-01T07:46:00Z</dcterms:created>
  <dcterms:modified xsi:type="dcterms:W3CDTF">2020-07-15T12:28:00Z</dcterms:modified>
</cp:coreProperties>
</file>