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30A9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31A9" w14:textId="77777777" w:rsidR="0012542D" w:rsidRDefault="0012542D" w:rsidP="00474C07">
      <w:r>
        <w:separator/>
      </w:r>
    </w:p>
  </w:endnote>
  <w:endnote w:type="continuationSeparator" w:id="0">
    <w:p w14:paraId="3BBE5F24" w14:textId="77777777" w:rsidR="0012542D" w:rsidRDefault="0012542D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17C7" w14:textId="77777777" w:rsidR="0012542D" w:rsidRDefault="0012542D" w:rsidP="00474C07">
      <w:r>
        <w:separator/>
      </w:r>
    </w:p>
  </w:footnote>
  <w:footnote w:type="continuationSeparator" w:id="0">
    <w:p w14:paraId="37BFC7E8" w14:textId="77777777" w:rsidR="0012542D" w:rsidRDefault="0012542D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4DE1E8AB" w:rsidR="001D2DF3" w:rsidRDefault="00F14CA4" w:rsidP="005375A8">
    <w:pPr>
      <w:pStyle w:val="Nagwek"/>
    </w:pPr>
    <w:r>
      <w:rPr>
        <w:rFonts w:ascii="Arial" w:eastAsia="Courier New" w:hAnsi="Arial" w:cs="Arial"/>
        <w:sz w:val="22"/>
      </w:rPr>
      <w:tab/>
      <w:t xml:space="preserve">                                                         </w:t>
    </w:r>
    <w:r w:rsidR="00F5509B" w:rsidRPr="00AB006C">
      <w:rPr>
        <w:rFonts w:ascii="Arial" w:eastAsia="Courier New" w:hAnsi="Arial" w:cs="Arial"/>
        <w:sz w:val="22"/>
      </w:rPr>
      <w:t xml:space="preserve">Nr referencyjny </w:t>
    </w:r>
    <w:r w:rsidR="00F5509B" w:rsidRPr="00F14CA4">
      <w:rPr>
        <w:rFonts w:ascii="Arial" w:eastAsia="Courier New" w:hAnsi="Arial" w:cs="Arial"/>
        <w:sz w:val="22"/>
      </w:rPr>
      <w:t>Zamawiającego</w:t>
    </w:r>
    <w:r w:rsidR="00F5509B" w:rsidRPr="00F14CA4">
      <w:rPr>
        <w:sz w:val="22"/>
      </w:rPr>
      <w:t xml:space="preserve">  </w:t>
    </w:r>
    <w:r w:rsidR="00F5509B" w:rsidRPr="00F14CA4">
      <w:rPr>
        <w:rFonts w:ascii="Arial" w:hAnsi="Arial" w:cs="Arial"/>
        <w:sz w:val="22"/>
      </w:rPr>
      <w:t xml:space="preserve">Nr </w:t>
    </w:r>
    <w:r w:rsidRPr="00F14CA4">
      <w:rPr>
        <w:rFonts w:ascii="Arial" w:hAnsi="Arial" w:cs="Arial"/>
        <w:sz w:val="22"/>
      </w:rPr>
      <w:t>KIS</w:t>
    </w:r>
    <w:r w:rsidR="00F5509B" w:rsidRPr="00F14CA4">
      <w:rPr>
        <w:rFonts w:ascii="Arial" w:hAnsi="Arial" w:cs="Arial"/>
        <w:sz w:val="22"/>
      </w:rPr>
      <w:t>.26.</w:t>
    </w:r>
    <w:r w:rsidRPr="00F14CA4">
      <w:rPr>
        <w:rFonts w:ascii="Arial" w:hAnsi="Arial" w:cs="Arial"/>
        <w:sz w:val="22"/>
      </w:rPr>
      <w:t>21.1.2024</w:t>
    </w:r>
    <w:r w:rsidR="00F5509B" w:rsidRPr="00F14CA4">
      <w:t xml:space="preserve">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12542D"/>
    <w:rsid w:val="00131344"/>
    <w:rsid w:val="001D2DF3"/>
    <w:rsid w:val="002849C8"/>
    <w:rsid w:val="003C5A62"/>
    <w:rsid w:val="004258F5"/>
    <w:rsid w:val="00474C07"/>
    <w:rsid w:val="004E552C"/>
    <w:rsid w:val="006166B9"/>
    <w:rsid w:val="006F72F0"/>
    <w:rsid w:val="007C181D"/>
    <w:rsid w:val="00805323"/>
    <w:rsid w:val="00805B09"/>
    <w:rsid w:val="009A06CB"/>
    <w:rsid w:val="00A31E0F"/>
    <w:rsid w:val="00AA5F6B"/>
    <w:rsid w:val="00B83089"/>
    <w:rsid w:val="00C443C2"/>
    <w:rsid w:val="00C679AF"/>
    <w:rsid w:val="00CE5E1D"/>
    <w:rsid w:val="00DE2200"/>
    <w:rsid w:val="00E4411D"/>
    <w:rsid w:val="00EA3670"/>
    <w:rsid w:val="00F14CA4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3</cp:revision>
  <dcterms:created xsi:type="dcterms:W3CDTF">2024-06-14T05:50:00Z</dcterms:created>
  <dcterms:modified xsi:type="dcterms:W3CDTF">2024-07-18T09:50:00Z</dcterms:modified>
</cp:coreProperties>
</file>