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5F" w:rsidRPr="0000405F" w:rsidRDefault="0000405F" w:rsidP="0000405F">
      <w:pPr>
        <w:jc w:val="both"/>
        <w:rPr>
          <w:rFonts w:asciiTheme="majorHAnsi" w:hAnsiTheme="majorHAnsi"/>
          <w:sz w:val="22"/>
          <w:szCs w:val="22"/>
        </w:rPr>
      </w:pPr>
      <w:r w:rsidRPr="0000405F">
        <w:rPr>
          <w:rFonts w:asciiTheme="majorHAnsi" w:hAnsiTheme="majorHAnsi"/>
          <w:b/>
          <w:sz w:val="22"/>
          <w:szCs w:val="22"/>
        </w:rPr>
        <w:t>PN 80/23</w:t>
      </w:r>
      <w:r w:rsidRPr="0000405F">
        <w:rPr>
          <w:rFonts w:asciiTheme="majorHAnsi" w:hAnsiTheme="majorHAnsi"/>
          <w:sz w:val="22"/>
          <w:szCs w:val="22"/>
        </w:rPr>
        <w:t xml:space="preserve"> – dostawa odczynników do oznaczania wiremii </w:t>
      </w:r>
      <w:r>
        <w:rPr>
          <w:rFonts w:asciiTheme="majorHAnsi" w:hAnsiTheme="majorHAnsi"/>
          <w:sz w:val="22"/>
          <w:szCs w:val="22"/>
        </w:rPr>
        <w:t>metodą PCR RT wraz z dzierżawą</w:t>
      </w:r>
      <w:r w:rsidRPr="0000405F">
        <w:rPr>
          <w:rFonts w:asciiTheme="majorHAnsi" w:hAnsiTheme="majorHAnsi"/>
          <w:sz w:val="22"/>
          <w:szCs w:val="22"/>
        </w:rPr>
        <w:t xml:space="preserve"> automatycznego analizatora</w:t>
      </w:r>
    </w:p>
    <w:p w:rsidR="0000405F" w:rsidRPr="0000405F" w:rsidRDefault="0000405F">
      <w:pPr>
        <w:rPr>
          <w:rFonts w:asciiTheme="majorHAnsi" w:hAnsiTheme="majorHAnsi"/>
          <w:sz w:val="22"/>
          <w:szCs w:val="22"/>
        </w:rPr>
      </w:pPr>
    </w:p>
    <w:p w:rsidR="0000405F" w:rsidRPr="00F94B99" w:rsidRDefault="0000405F" w:rsidP="0000405F">
      <w:pPr>
        <w:jc w:val="right"/>
        <w:rPr>
          <w:rFonts w:asciiTheme="majorHAnsi" w:hAnsiTheme="majorHAnsi"/>
          <w:sz w:val="22"/>
          <w:szCs w:val="22"/>
        </w:rPr>
      </w:pPr>
      <w:r w:rsidRPr="00F94B99">
        <w:rPr>
          <w:rFonts w:asciiTheme="majorHAnsi" w:hAnsiTheme="majorHAnsi"/>
          <w:sz w:val="22"/>
          <w:szCs w:val="22"/>
        </w:rPr>
        <w:t>Załącznik nr 1A do SWZ</w:t>
      </w:r>
    </w:p>
    <w:p w:rsidR="0000405F" w:rsidRDefault="0000405F" w:rsidP="0000405F">
      <w:pPr>
        <w:jc w:val="center"/>
        <w:rPr>
          <w:rFonts w:asciiTheme="majorHAnsi" w:hAnsiTheme="majorHAnsi"/>
          <w:b/>
        </w:rPr>
      </w:pPr>
      <w:r w:rsidRPr="00F94B99">
        <w:rPr>
          <w:rFonts w:asciiTheme="majorHAnsi" w:hAnsiTheme="majorHAnsi"/>
          <w:b/>
        </w:rPr>
        <w:t xml:space="preserve">PARAMETRY </w:t>
      </w:r>
      <w:r w:rsidR="00F94B99">
        <w:rPr>
          <w:rFonts w:asciiTheme="majorHAnsi" w:hAnsiTheme="majorHAnsi"/>
          <w:b/>
        </w:rPr>
        <w:t xml:space="preserve"> </w:t>
      </w:r>
      <w:r w:rsidRPr="00F94B99">
        <w:rPr>
          <w:rFonts w:asciiTheme="majorHAnsi" w:hAnsiTheme="majorHAnsi"/>
          <w:b/>
        </w:rPr>
        <w:t>GRANICZNE</w:t>
      </w:r>
    </w:p>
    <w:p w:rsidR="00C476D5" w:rsidRPr="00F94B99" w:rsidRDefault="00C476D5" w:rsidP="0000405F">
      <w:pPr>
        <w:jc w:val="center"/>
        <w:rPr>
          <w:rFonts w:asciiTheme="majorHAnsi" w:hAnsiTheme="majorHAnsi"/>
          <w:b/>
        </w:rPr>
      </w:pPr>
    </w:p>
    <w:tbl>
      <w:tblPr>
        <w:tblpPr w:leftFromText="141" w:rightFromText="141" w:vertAnchor="text" w:horzAnchor="margin" w:tblpY="26"/>
        <w:tblW w:w="987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5"/>
        <w:gridCol w:w="4961"/>
        <w:gridCol w:w="2977"/>
      </w:tblGrid>
      <w:tr w:rsidR="00C476D5" w:rsidRPr="0023662C" w:rsidTr="00C476D5">
        <w:trPr>
          <w:trHeight w:val="73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D52" w:rsidRDefault="00843D52" w:rsidP="00C476D5">
            <w:pPr>
              <w:pStyle w:val="Default"/>
              <w:widowControl w:val="0"/>
              <w:jc w:val="center"/>
              <w:rPr>
                <w:rFonts w:asciiTheme="majorHAnsi" w:eastAsia="SimHei" w:hAnsiTheme="majorHAnsi"/>
                <w:b/>
                <w:bCs/>
                <w:kern w:val="0"/>
                <w:sz w:val="22"/>
                <w:szCs w:val="22"/>
                <w:lang w:val="en-GB" w:bidi="ar-SA"/>
              </w:rPr>
            </w:pPr>
          </w:p>
          <w:p w:rsidR="00C476D5" w:rsidRPr="008B5BF5" w:rsidRDefault="00C476D5" w:rsidP="00C476D5">
            <w:pPr>
              <w:pStyle w:val="Default"/>
              <w:widowControl w:val="0"/>
              <w:jc w:val="center"/>
              <w:rPr>
                <w:rFonts w:asciiTheme="majorHAnsi" w:eastAsia="SimHei" w:hAnsiTheme="majorHAnsi"/>
                <w:kern w:val="0"/>
                <w:sz w:val="22"/>
                <w:szCs w:val="22"/>
                <w:lang w:val="en-GB" w:bidi="ar-SA"/>
              </w:rPr>
            </w:pPr>
            <w:proofErr w:type="spellStart"/>
            <w:r w:rsidRPr="008B5BF5">
              <w:rPr>
                <w:rFonts w:asciiTheme="majorHAnsi" w:eastAsia="SimHei" w:hAnsiTheme="majorHAnsi"/>
                <w:b/>
                <w:bCs/>
                <w:kern w:val="0"/>
                <w:sz w:val="22"/>
                <w:szCs w:val="22"/>
                <w:lang w:val="en-GB" w:bidi="ar-SA"/>
              </w:rPr>
              <w:t>Nazwa</w:t>
            </w:r>
            <w:proofErr w:type="spellEnd"/>
            <w:r w:rsidRPr="008B5BF5">
              <w:rPr>
                <w:rFonts w:asciiTheme="majorHAnsi" w:eastAsia="SimHei" w:hAnsiTheme="majorHAnsi"/>
                <w:b/>
                <w:bCs/>
                <w:kern w:val="0"/>
                <w:sz w:val="22"/>
                <w:szCs w:val="22"/>
                <w:lang w:val="en-GB" w:bidi="ar-SA"/>
              </w:rPr>
              <w:t xml:space="preserve"> </w:t>
            </w:r>
            <w:proofErr w:type="spellStart"/>
            <w:r w:rsidRPr="008B5BF5">
              <w:rPr>
                <w:rFonts w:asciiTheme="majorHAnsi" w:eastAsia="SimHei" w:hAnsiTheme="majorHAnsi"/>
                <w:b/>
                <w:bCs/>
                <w:kern w:val="0"/>
                <w:sz w:val="22"/>
                <w:szCs w:val="22"/>
                <w:lang w:val="en-GB" w:bidi="ar-SA"/>
              </w:rPr>
              <w:t>testu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D52" w:rsidRDefault="00843D52" w:rsidP="00C476D5">
            <w:pPr>
              <w:pStyle w:val="Default"/>
              <w:widowControl w:val="0"/>
              <w:jc w:val="center"/>
              <w:rPr>
                <w:rFonts w:asciiTheme="majorHAnsi" w:eastAsia="SimHei" w:hAnsiTheme="majorHAnsi"/>
                <w:b/>
                <w:bCs/>
                <w:kern w:val="0"/>
                <w:highlight w:val="cyan"/>
                <w:lang w:bidi="ar-SA"/>
              </w:rPr>
            </w:pPr>
          </w:p>
          <w:p w:rsidR="00C476D5" w:rsidRPr="008B5BF5" w:rsidRDefault="00C476D5" w:rsidP="00C476D5">
            <w:pPr>
              <w:pStyle w:val="Default"/>
              <w:widowControl w:val="0"/>
              <w:jc w:val="center"/>
              <w:rPr>
                <w:rFonts w:asciiTheme="majorHAnsi" w:hAnsiTheme="majorHAnsi"/>
              </w:rPr>
            </w:pPr>
            <w:r w:rsidRPr="008B5BF5">
              <w:rPr>
                <w:rFonts w:asciiTheme="majorHAnsi" w:eastAsia="SimHei" w:hAnsiTheme="majorHAnsi"/>
                <w:b/>
                <w:bCs/>
                <w:kern w:val="0"/>
                <w:highlight w:val="cyan"/>
                <w:lang w:bidi="ar-SA"/>
              </w:rPr>
              <w:t>PARAMETRY  DOTYCZĄCE ODCZYNNIKÓW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5" w:rsidRPr="008B5BF5" w:rsidRDefault="00C476D5" w:rsidP="00C476D5">
            <w:pPr>
              <w:pStyle w:val="Default"/>
              <w:widowControl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B5BF5">
              <w:rPr>
                <w:rFonts w:asciiTheme="majorHAnsi" w:hAnsiTheme="majorHAnsi"/>
                <w:b/>
                <w:sz w:val="22"/>
                <w:szCs w:val="22"/>
              </w:rPr>
              <w:t>PARAMETRY OFEROWANE /Potwierdzenie spełnienia wymagań (opis)</w:t>
            </w:r>
          </w:p>
          <w:p w:rsidR="00C476D5" w:rsidRPr="008B5BF5" w:rsidRDefault="00C476D5" w:rsidP="00C476D5">
            <w:pPr>
              <w:pStyle w:val="Default"/>
              <w:widowControl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B5BF5">
              <w:rPr>
                <w:rFonts w:asciiTheme="majorHAnsi" w:hAnsiTheme="majorHAnsi"/>
                <w:b/>
                <w:sz w:val="22"/>
                <w:szCs w:val="22"/>
              </w:rPr>
              <w:t>TAK/NIE</w:t>
            </w:r>
          </w:p>
        </w:tc>
      </w:tr>
      <w:tr w:rsidR="00C476D5" w:rsidRPr="009D5E4F" w:rsidTr="00C476D5"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b/>
                <w:kern w:val="0"/>
                <w:sz w:val="22"/>
                <w:szCs w:val="22"/>
                <w:lang w:bidi="ar-SA"/>
              </w:rPr>
              <w:t>Test ilościowy HCV metodą PCR czasu rzeczywistego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1) test do ilościowego oznaczania HCV RNA metodą PCR czasu rzeczywistego;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2) dolny limit detekcji: 20 IU/ml lub niższy;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3) specyficzność nie niższa niż 99%;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4) zakres liniowości pomiaru co najmniej: 20 IU/ml - 1,0 x 10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vertAlign w:val="superscript"/>
                <w:lang w:bidi="ar-SA"/>
              </w:rPr>
              <w:t>7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 IU/ml;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5) wykrywane genotypy 1-6;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6) test zawiera wewnętrzną kontrolę przebiegu reakcji;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7) test zawiera kontrole: pozytywną i negatywną; kontrole ważne 24 h;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8) test dopuszczony do zastosowania w diagnostyce medycznej </w:t>
            </w:r>
            <w:r w:rsidRPr="009D5E4F">
              <w:rPr>
                <w:rFonts w:asciiTheme="majorHAnsi" w:eastAsia="SimHei" w:hAnsiTheme="majorHAnsi"/>
                <w:i/>
                <w:iCs/>
                <w:kern w:val="0"/>
                <w:sz w:val="22"/>
                <w:szCs w:val="22"/>
                <w:lang w:bidi="ar-SA"/>
              </w:rPr>
              <w:t>in vitro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9) wszystkie testy, bufory i materiały zużywalne, za wyjątkiem kontroli oraz kalibratorów, przecho</w:t>
            </w:r>
            <w:r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wywane w temperaturze pokojowej;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10) czas oczekiwania na wynik badania do 80 min</w:t>
            </w:r>
            <w:r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76D5" w:rsidRPr="009D5E4F" w:rsidTr="00C476D5"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b/>
                <w:kern w:val="0"/>
                <w:sz w:val="22"/>
                <w:szCs w:val="22"/>
                <w:lang w:bidi="ar-SA"/>
              </w:rPr>
              <w:t>Test ilościowy HBV metodą PCR czasu rzeczywistego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1) test do ilościowego oznaczania HBV DNA metodą PCR czasu rzeczywistego;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2) dolny limit detekcji: 20 IU/ml lub niższy;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3) specyficzność nie niższa niż 99%;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4) zakres liniowości pomiaru co najmniej: 20 IU/ml – 1,0 x 10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vertAlign w:val="superscript"/>
                <w:lang w:bidi="ar-SA"/>
              </w:rPr>
              <w:t>8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 IU/ml;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5) wykrywane genotypy: A-H;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6) test zawiera wewnętrzną kontrolę przebiegu reakcji;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7) test zawiera kontrole: pozytywną i negatywną; kontrole ważne 24 h;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8) test dopuszczony do zastosowania w diagnostyce medycznej </w:t>
            </w:r>
            <w:r w:rsidRPr="009D5E4F">
              <w:rPr>
                <w:rFonts w:asciiTheme="majorHAnsi" w:eastAsia="SimHei" w:hAnsiTheme="majorHAnsi"/>
                <w:i/>
                <w:iCs/>
                <w:kern w:val="0"/>
                <w:sz w:val="22"/>
                <w:szCs w:val="22"/>
                <w:lang w:bidi="ar-SA"/>
              </w:rPr>
              <w:t>in vitro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9) wszystkie testy, bufory i materiały zużywalne, za wyjątkiem kontroli oraz kalibratorów, przecho</w:t>
            </w:r>
            <w:r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wywane w temperaturze pokojowej;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10) czas oczekiwania na wynik badania do 60 min</w:t>
            </w:r>
            <w:r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76D5" w:rsidRPr="009D5E4F" w:rsidTr="00C476D5"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b/>
                <w:kern w:val="0"/>
                <w:sz w:val="22"/>
                <w:szCs w:val="22"/>
                <w:lang w:bidi="ar-SA"/>
              </w:rPr>
              <w:t>Test ilościowy HIV metodą PCR czasu rzeczywistego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1) test do ilościowego oznaczania HIV RNA metodą PCR czasu rzeczywistego;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2) dolny limit detekcji: 40 kopii/ml lub niższy;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3) specyficzność nie niższa niż 99%;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4) zakres liniowości pomiaru co najmniej: 40 kopii/ml - 1,0 x 10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vertAlign w:val="superscript"/>
                <w:lang w:bidi="ar-SA"/>
              </w:rPr>
              <w:t>7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 kopii/ml;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5) wykrywane </w:t>
            </w:r>
            <w:proofErr w:type="spellStart"/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subtypy</w:t>
            </w:r>
            <w:proofErr w:type="spellEnd"/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 z grupy M, O;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6) test zawiera wewnętrzną kontrolę przebiegu reakcji;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7) test zawiera kontrole pozytywną i negatywną; kontrole ważne 24 h;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 xml:space="preserve">8) test dopuszczony do zastosowania w diagnostyce medycznej </w:t>
            </w:r>
            <w:r w:rsidRPr="009D5E4F">
              <w:rPr>
                <w:rFonts w:asciiTheme="majorHAnsi" w:eastAsia="SimHei" w:hAnsiTheme="majorHAnsi"/>
                <w:i/>
                <w:iCs/>
                <w:kern w:val="0"/>
                <w:sz w:val="22"/>
                <w:szCs w:val="22"/>
                <w:lang w:bidi="ar-SA"/>
              </w:rPr>
              <w:t>in vitro</w:t>
            </w: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9) wszystkie testy, bufory i materiały zużywalne, za wyjątkiem kontroli oraz kalibratorów, przecho</w:t>
            </w:r>
            <w:r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wywane w temperaturze pokojowej;</w:t>
            </w:r>
          </w:p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  <w:r w:rsidRPr="009D5E4F"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10) czas oczekiwania na wynik badania do 80 min</w:t>
            </w:r>
            <w:r>
              <w:rPr>
                <w:rFonts w:asciiTheme="majorHAnsi" w:eastAsia="SimHei" w:hAnsiTheme="majorHAnsi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5" w:rsidRPr="009D5E4F" w:rsidRDefault="00C476D5" w:rsidP="00C476D5">
            <w:pPr>
              <w:pStyle w:val="Default"/>
              <w:widowContro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0405F" w:rsidRPr="0000405F" w:rsidRDefault="0000405F">
      <w:pPr>
        <w:rPr>
          <w:rFonts w:asciiTheme="majorHAnsi" w:hAnsiTheme="majorHAnsi"/>
        </w:rPr>
      </w:pPr>
    </w:p>
    <w:p w:rsidR="00023B97" w:rsidRPr="0023662C" w:rsidRDefault="00023B97">
      <w:pPr>
        <w:rPr>
          <w:rFonts w:asciiTheme="majorHAnsi" w:hAnsiTheme="majorHAnsi"/>
        </w:rPr>
      </w:pPr>
    </w:p>
    <w:p w:rsidR="00023B97" w:rsidRPr="0023662C" w:rsidRDefault="00023B97">
      <w:pPr>
        <w:rPr>
          <w:rFonts w:asciiTheme="majorHAnsi" w:hAnsiTheme="majorHAnsi"/>
        </w:rPr>
      </w:pPr>
    </w:p>
    <w:p w:rsidR="00023B97" w:rsidRPr="0023662C" w:rsidRDefault="00023B97">
      <w:pPr>
        <w:rPr>
          <w:rFonts w:asciiTheme="majorHAnsi" w:hAnsiTheme="majorHAnsi"/>
        </w:rPr>
      </w:pPr>
    </w:p>
    <w:p w:rsidR="00023B97" w:rsidRPr="0023662C" w:rsidRDefault="00023B97">
      <w:pPr>
        <w:rPr>
          <w:rFonts w:asciiTheme="majorHAnsi" w:hAnsiTheme="majorHAnsi"/>
        </w:rPr>
      </w:pPr>
    </w:p>
    <w:tbl>
      <w:tblPr>
        <w:tblW w:w="1000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777"/>
        <w:gridCol w:w="6582"/>
        <w:gridCol w:w="2643"/>
      </w:tblGrid>
      <w:tr w:rsidR="00023B97" w:rsidRPr="0023662C" w:rsidTr="009E466B">
        <w:trPr>
          <w:trHeight w:val="39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AB0DC1" w:rsidRDefault="002366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B0DC1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23662C" w:rsidRDefault="0023662C" w:rsidP="00622498">
            <w:pPr>
              <w:jc w:val="center"/>
              <w:rPr>
                <w:rFonts w:asciiTheme="majorHAnsi" w:hAnsiTheme="majorHAnsi"/>
                <w:b/>
              </w:rPr>
            </w:pPr>
            <w:r w:rsidRPr="000F311E">
              <w:rPr>
                <w:rFonts w:asciiTheme="majorHAnsi" w:hAnsiTheme="majorHAnsi"/>
                <w:b/>
                <w:highlight w:val="green"/>
              </w:rPr>
              <w:t>P</w:t>
            </w:r>
            <w:r w:rsidR="00622498" w:rsidRPr="000F311E">
              <w:rPr>
                <w:rFonts w:asciiTheme="majorHAnsi" w:hAnsiTheme="majorHAnsi"/>
                <w:b/>
                <w:highlight w:val="green"/>
              </w:rPr>
              <w:t>ARAMETRY DOTYCZĄCE APARATU</w:t>
            </w:r>
            <w:r w:rsidR="0062249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4F" w:rsidRPr="008B5BF5" w:rsidRDefault="00572D4F" w:rsidP="00572D4F">
            <w:pPr>
              <w:pStyle w:val="Default"/>
              <w:widowControl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B5BF5">
              <w:rPr>
                <w:rFonts w:asciiTheme="majorHAnsi" w:hAnsiTheme="majorHAnsi"/>
                <w:b/>
                <w:sz w:val="22"/>
                <w:szCs w:val="22"/>
              </w:rPr>
              <w:t>PARAMETRY OFEROWANE /Potwierdzenie spełnienia wymagań (opis)</w:t>
            </w:r>
          </w:p>
          <w:p w:rsidR="00023B97" w:rsidRPr="0023662C" w:rsidRDefault="00572D4F" w:rsidP="00572D4F">
            <w:pPr>
              <w:jc w:val="center"/>
              <w:rPr>
                <w:rFonts w:asciiTheme="majorHAnsi" w:hAnsiTheme="majorHAnsi"/>
                <w:b/>
              </w:rPr>
            </w:pPr>
            <w:r w:rsidRPr="008B5BF5">
              <w:rPr>
                <w:rFonts w:asciiTheme="majorHAnsi" w:hAnsiTheme="majorHAnsi"/>
                <w:b/>
                <w:sz w:val="22"/>
                <w:szCs w:val="22"/>
              </w:rPr>
              <w:t>TAK/NIE</w:t>
            </w: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 xml:space="preserve">Zautomatyzowany, laboratoryjny analizator diagnostyczny złożony ze zintegrowanych modułów izolatora wirusowych kwasów nukleinowych oraz </w:t>
            </w:r>
            <w:proofErr w:type="spellStart"/>
            <w:r w:rsidRPr="00796133">
              <w:rPr>
                <w:rFonts w:asciiTheme="majorHAnsi" w:hAnsiTheme="majorHAnsi"/>
                <w:sz w:val="22"/>
                <w:szCs w:val="22"/>
              </w:rPr>
              <w:t>termocyklera</w:t>
            </w:r>
            <w:proofErr w:type="spellEnd"/>
            <w:r w:rsidRPr="00796133">
              <w:rPr>
                <w:rFonts w:asciiTheme="majorHAnsi" w:hAnsiTheme="majorHAnsi"/>
                <w:sz w:val="22"/>
                <w:szCs w:val="22"/>
              </w:rPr>
              <w:t xml:space="preserve"> w technologii PCR czasu rzeczywistego umożliwiającego przeprowadzenie procesu amplifikacji DNA z równoczesną detekcją.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System przeznaczony do diagnostyki „</w:t>
            </w:r>
            <w:r w:rsidRPr="00796133">
              <w:rPr>
                <w:rFonts w:asciiTheme="majorHAnsi" w:hAnsiTheme="majorHAnsi"/>
                <w:i/>
                <w:iCs/>
                <w:sz w:val="22"/>
                <w:szCs w:val="22"/>
              </w:rPr>
              <w:t>in vitro</w:t>
            </w:r>
            <w:r w:rsidRPr="00796133">
              <w:rPr>
                <w:rFonts w:asciiTheme="majorHAnsi" w:hAnsiTheme="majorHAnsi"/>
                <w:sz w:val="22"/>
                <w:szCs w:val="22"/>
              </w:rPr>
              <w:t xml:space="preserve">” [spełniający wymagania dyrektywy 98/79/WE (IVDD) UE w sprawie wyrobów medycznych do diagnostyki </w:t>
            </w:r>
            <w:r w:rsidRPr="00796133">
              <w:rPr>
                <w:rFonts w:asciiTheme="majorHAnsi" w:hAnsiTheme="majorHAnsi"/>
                <w:i/>
                <w:sz w:val="22"/>
                <w:szCs w:val="22"/>
              </w:rPr>
              <w:t>in vitro</w:t>
            </w:r>
            <w:r w:rsidRPr="00796133">
              <w:rPr>
                <w:rFonts w:asciiTheme="majorHAnsi" w:hAnsiTheme="majorHAnsi"/>
                <w:sz w:val="22"/>
                <w:szCs w:val="22"/>
              </w:rPr>
              <w:t xml:space="preserve"> lub rozporządzenia UE (2017/746/UE) (IVDR) oraz zgodny z przepisami przejściowymi i wdrażającymi], pozwalający na wykonywanie pomiarów ilościowych kwasów nukleinowych w technologii PCR czasu rzeczywistego, posiadający źródło wzbudzenia i detekcji sygnału fluorescencyjnego.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Aparatura laboratoryjna nowa.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Kompletny system diagnostyczny zawierający komputer, monitor, drukarkę, czytnik kodów kreskowych z dodatkowym wyposażeniem niezbędnym do poprawnej pracy, w tym urządzeniem podtrzymującym pracę analizatora w przypadku zaniku zasilania energią elektryczną UPS</w:t>
            </w:r>
            <w:r w:rsidR="009E466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Dostępność wyników bezpośrednio po zakończeniu reakcji PCR bez konieczności przeprowadzania dodatkowych etapów analitycznych.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Pomiar fluorescencji dokonywany symultanicznie w trakcie amplifikacji genetycznego materiału wirusowego.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 xml:space="preserve">Materiałem </w:t>
            </w:r>
            <w:proofErr w:type="spellStart"/>
            <w:r w:rsidRPr="00796133">
              <w:rPr>
                <w:rFonts w:asciiTheme="majorHAnsi" w:hAnsiTheme="majorHAnsi"/>
                <w:sz w:val="22"/>
                <w:szCs w:val="22"/>
              </w:rPr>
              <w:t>zwalidowanym</w:t>
            </w:r>
            <w:proofErr w:type="spellEnd"/>
            <w:r w:rsidRPr="00796133">
              <w:rPr>
                <w:rFonts w:asciiTheme="majorHAnsi" w:hAnsiTheme="majorHAnsi"/>
                <w:sz w:val="22"/>
                <w:szCs w:val="22"/>
              </w:rPr>
              <w:t xml:space="preserve"> do przeprowadzania oznaczeń są próbki surowicy lub osocza krwi ludzkiej.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Wymiary analizatora nie większe niż: 140 cm x 110 cm x 110 cm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Serwis sprzętu w całym okresie w ramach czynszu dzierżawnego.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 xml:space="preserve">System wraz z odczynnikami dopuszczony do zastosowania </w:t>
            </w:r>
            <w:r w:rsidR="009805FF">
              <w:rPr>
                <w:rFonts w:asciiTheme="majorHAnsi" w:hAnsiTheme="majorHAnsi"/>
                <w:sz w:val="22"/>
                <w:szCs w:val="22"/>
              </w:rPr>
              <w:br/>
            </w:r>
            <w:r w:rsidRPr="00796133">
              <w:rPr>
                <w:rFonts w:asciiTheme="majorHAnsi" w:hAnsiTheme="majorHAnsi"/>
                <w:sz w:val="22"/>
                <w:szCs w:val="22"/>
              </w:rPr>
              <w:t>w diagnostyce medycznej.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pStyle w:val="Tekstpodstawowywcity"/>
              <w:tabs>
                <w:tab w:val="left" w:pos="928"/>
              </w:tabs>
              <w:spacing w:line="276" w:lineRule="auto"/>
              <w:ind w:firstLine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Podłączenie analizatora do laboratoryjnego systemu informatycznego LIS wraz z konfiguracją wymaganych sterowników na koszt oferenta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pStyle w:val="Tekstpodstawowywcity"/>
              <w:tabs>
                <w:tab w:val="left" w:pos="928"/>
              </w:tabs>
              <w:spacing w:line="276" w:lineRule="auto"/>
              <w:ind w:firstLine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Praca aparatu zarówno z próbką pierwotną jak i wtórną.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23B97" w:rsidRPr="0023662C" w:rsidTr="009E466B">
        <w:trPr>
          <w:trHeight w:val="230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8E02C9" w:rsidRDefault="002366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E02C9">
              <w:rPr>
                <w:rFonts w:asciiTheme="majorHAnsi" w:hAnsiTheme="majorHAnsi"/>
                <w:sz w:val="22"/>
                <w:szCs w:val="22"/>
              </w:rPr>
              <w:t>14</w:t>
            </w:r>
            <w:r w:rsidR="008E02C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97" w:rsidRPr="00796133" w:rsidRDefault="0023662C">
            <w:pPr>
              <w:pStyle w:val="Tekstpodstawowywcity"/>
              <w:tabs>
                <w:tab w:val="left" w:pos="928"/>
              </w:tabs>
              <w:spacing w:line="276" w:lineRule="auto"/>
              <w:ind w:firstLine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6133">
              <w:rPr>
                <w:rFonts w:asciiTheme="majorHAnsi" w:hAnsiTheme="majorHAnsi"/>
                <w:sz w:val="22"/>
                <w:szCs w:val="22"/>
              </w:rPr>
              <w:t>Zapew</w:t>
            </w:r>
            <w:bookmarkStart w:id="0" w:name="_GoBack"/>
            <w:bookmarkEnd w:id="0"/>
            <w:r w:rsidRPr="00796133">
              <w:rPr>
                <w:rFonts w:asciiTheme="majorHAnsi" w:hAnsiTheme="majorHAnsi"/>
                <w:sz w:val="22"/>
                <w:szCs w:val="22"/>
              </w:rPr>
              <w:t>nienie udziału pracownikom laboratorium w szkoleniach wewnętrznych i zewnętrznych dotyczących oferowanych testów</w:t>
            </w:r>
            <w:r w:rsidR="009E466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23662C" w:rsidRDefault="00023B9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A68A7" w:rsidRPr="00FA68A7" w:rsidRDefault="00FA68A7" w:rsidP="00FA68A7">
      <w:pPr>
        <w:widowControl/>
        <w:textAlignment w:val="baseline"/>
        <w:rPr>
          <w:rFonts w:ascii="Cambria" w:eastAsia="SimSun" w:hAnsi="Cambria" w:cs="Mangal"/>
          <w:b/>
          <w:lang w:val="en-US"/>
        </w:rPr>
      </w:pPr>
      <w:r w:rsidRPr="00FA68A7">
        <w:rPr>
          <w:rFonts w:ascii="Cambria" w:eastAsia="SimSun" w:hAnsi="Cambria" w:cs="Arial"/>
          <w:b/>
          <w:color w:val="000000"/>
        </w:rPr>
        <w:t>PARAMETRY GRANICZNE OCENIANE</w:t>
      </w:r>
    </w:p>
    <w:p w:rsidR="00FA68A7" w:rsidRPr="00FA68A7" w:rsidRDefault="00FA68A7" w:rsidP="00FA68A7">
      <w:pPr>
        <w:widowControl/>
        <w:textAlignment w:val="baseline"/>
        <w:rPr>
          <w:rFonts w:ascii="Arial" w:eastAsia="SimSun" w:hAnsi="Arial" w:cs="Arial"/>
          <w:color w:val="000000"/>
          <w:sz w:val="28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1843"/>
        <w:gridCol w:w="2551"/>
      </w:tblGrid>
      <w:tr w:rsidR="00FA68A7" w:rsidRPr="00FA68A7" w:rsidTr="009E103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suppressLineNumbers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1EA3" w:rsidRDefault="00A01EA3" w:rsidP="00FA68A7">
            <w:pPr>
              <w:suppressLineNumbers/>
              <w:jc w:val="center"/>
              <w:textAlignment w:val="baseline"/>
              <w:rPr>
                <w:rFonts w:ascii="Cambria" w:eastAsia="SimSun" w:hAnsi="Cambria" w:cs="Arial"/>
                <w:b/>
                <w:bCs/>
                <w:sz w:val="22"/>
                <w:szCs w:val="22"/>
                <w:highlight w:val="red"/>
                <w:lang w:val="en-US"/>
              </w:rPr>
            </w:pPr>
          </w:p>
          <w:p w:rsidR="00FA68A7" w:rsidRPr="00FA68A7" w:rsidRDefault="00FA68A7" w:rsidP="00FA68A7">
            <w:pPr>
              <w:suppressLineNumbers/>
              <w:jc w:val="center"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bCs/>
                <w:sz w:val="22"/>
                <w:szCs w:val="22"/>
                <w:highlight w:val="red"/>
                <w:lang w:val="en-US"/>
              </w:rPr>
              <w:t>PARAMETRY OCENIANE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suppressLineNumbers/>
              <w:jc w:val="center"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bCs/>
                <w:sz w:val="22"/>
                <w:szCs w:val="22"/>
                <w:lang w:val="en-US"/>
              </w:rPr>
              <w:t xml:space="preserve"> TAK/NIE </w:t>
            </w:r>
            <w:r w:rsidRPr="00FA68A7">
              <w:rPr>
                <w:rFonts w:ascii="Cambria" w:eastAsia="SimSun" w:hAnsi="Cambria" w:cs="Arial"/>
                <w:b/>
                <w:bCs/>
                <w:sz w:val="22"/>
                <w:szCs w:val="22"/>
                <w:lang w:val="en-US"/>
              </w:rPr>
              <w:br/>
            </w:r>
            <w:r w:rsidRPr="00FA68A7">
              <w:rPr>
                <w:rFonts w:ascii="Cambria" w:eastAsia="SimSun" w:hAnsi="Cambria" w:cs="Arial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FA68A7">
              <w:rPr>
                <w:rFonts w:ascii="Cambria" w:eastAsia="SimSun" w:hAnsi="Cambria" w:cs="Arial"/>
                <w:bCs/>
                <w:sz w:val="20"/>
                <w:szCs w:val="20"/>
                <w:lang w:val="en-US"/>
              </w:rPr>
              <w:t>punktacja</w:t>
            </w:r>
            <w:proofErr w:type="spellEnd"/>
            <w:r w:rsidRPr="00FA68A7">
              <w:rPr>
                <w:rFonts w:ascii="Cambria" w:eastAsia="SimSun" w:hAnsi="Cambria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8A7" w:rsidRPr="00FA68A7" w:rsidRDefault="00FA68A7" w:rsidP="001C2F2A">
            <w:pPr>
              <w:widowControl/>
              <w:spacing w:after="140" w:line="288" w:lineRule="auto"/>
              <w:jc w:val="center"/>
              <w:textAlignment w:val="baseline"/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  <w:t>P</w:t>
            </w:r>
            <w:r w:rsidR="001C2F2A"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  <w:t xml:space="preserve">ARAMETRY OFEROWANE </w:t>
            </w:r>
          </w:p>
        </w:tc>
      </w:tr>
      <w:tr w:rsidR="00FA68A7" w:rsidRPr="00FA68A7" w:rsidTr="009E103C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9E103C">
            <w:pPr>
              <w:suppressLineNumbers/>
              <w:jc w:val="center"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  <w:r>
              <w:rPr>
                <w:rFonts w:ascii="Cambria" w:eastAsia="SimSun" w:hAnsi="Cambria" w:cs="Arial"/>
                <w:sz w:val="22"/>
                <w:szCs w:val="22"/>
                <w:lang w:val="en-US"/>
              </w:rPr>
              <w:t>A</w:t>
            </w:r>
            <w:r w:rsidRPr="00FA68A7">
              <w:rPr>
                <w:rFonts w:ascii="Cambria" w:eastAsia="SimSun" w:hAnsi="Cambri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lang w:val="en-US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Testy wyposażone </w:t>
            </w:r>
            <w:r>
              <w:rPr>
                <w:rFonts w:ascii="Cambria" w:hAnsi="Cambria" w:cstheme="minorHAnsi"/>
                <w:sz w:val="20"/>
                <w:szCs w:val="20"/>
              </w:rPr>
              <w:br/>
              <w:t>w wyznakowane fluorescencyjne, specyficzne sondy molekularne umożliwiające jednoczesne wykrywanie dwóch komplementarnych regionów docelowych w obrębie genomu wirusowego.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    TAK</w:t>
            </w:r>
            <w:r w:rsidR="00A01EA3"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–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  <w:r w:rsidRPr="00FA68A7">
              <w:rPr>
                <w:rFonts w:ascii="Cambria" w:eastAsia="SimSun" w:hAnsi="Cambria" w:cs="Arial"/>
                <w:b/>
                <w:sz w:val="22"/>
                <w:szCs w:val="22"/>
                <w:lang w:val="en-US"/>
              </w:rPr>
              <w:br/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="00A01EA3"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NIE – 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suppressLineNumbers/>
              <w:snapToGrid w:val="0"/>
              <w:textAlignment w:val="baseline"/>
              <w:rPr>
                <w:rFonts w:ascii="Cambria" w:eastAsia="SimSun" w:hAnsi="Cambria" w:cs="Arial"/>
                <w:sz w:val="22"/>
                <w:szCs w:val="22"/>
                <w:lang w:val="en-US"/>
              </w:rPr>
            </w:pPr>
          </w:p>
        </w:tc>
      </w:tr>
      <w:tr w:rsidR="00FA68A7" w:rsidRPr="00FA68A7" w:rsidTr="009E103C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9E103C">
            <w:pPr>
              <w:suppressLineNumbers/>
              <w:jc w:val="center"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  <w:r>
              <w:rPr>
                <w:rFonts w:ascii="Cambria" w:eastAsia="SimSun" w:hAnsi="Cambria" w:cs="Arial"/>
                <w:sz w:val="22"/>
                <w:szCs w:val="22"/>
                <w:lang w:val="en-US"/>
              </w:rPr>
              <w:t>B</w:t>
            </w:r>
            <w:r w:rsidRPr="00FA68A7">
              <w:rPr>
                <w:rFonts w:ascii="Cambria" w:eastAsia="SimSun" w:hAnsi="Cambri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lang w:val="en-US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W pełni zautomatyzowany system obejmujący zintegrowany proces diagnostyczny obejmujący etapy izolacji kwasów nukleinowych oraz amplifikacji/detekcji bez konieczności dodatkowej obsługi manualnej ze strony użytkownika w trakcie prowadzenia oznaczeń.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   TAK  – 10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  <w:r w:rsidRPr="00FA68A7">
              <w:rPr>
                <w:rFonts w:ascii="Cambria" w:eastAsia="SimSun" w:hAnsi="Cambria" w:cs="Arial"/>
                <w:b/>
                <w:sz w:val="22"/>
                <w:szCs w:val="22"/>
                <w:lang w:val="en-US"/>
              </w:rPr>
              <w:br/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 NIE  –  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suppressLineNumbers/>
              <w:snapToGrid w:val="0"/>
              <w:textAlignment w:val="baseline"/>
              <w:rPr>
                <w:rFonts w:ascii="Cambria" w:eastAsia="SimSun" w:hAnsi="Cambria" w:cs="Arial"/>
                <w:sz w:val="22"/>
                <w:szCs w:val="22"/>
                <w:lang w:val="en-US"/>
              </w:rPr>
            </w:pPr>
          </w:p>
        </w:tc>
      </w:tr>
      <w:tr w:rsidR="00FA68A7" w:rsidRPr="00FA68A7" w:rsidTr="009E103C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9E103C">
            <w:pPr>
              <w:suppressLineNumbers/>
              <w:jc w:val="center"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  <w:r>
              <w:rPr>
                <w:rFonts w:ascii="Cambria" w:eastAsia="SimSun" w:hAnsi="Cambria" w:cs="Arial"/>
                <w:sz w:val="22"/>
                <w:szCs w:val="22"/>
                <w:lang w:val="en-US"/>
              </w:rPr>
              <w:t>C</w:t>
            </w:r>
            <w:r w:rsidRPr="00FA68A7">
              <w:rPr>
                <w:rFonts w:ascii="Cambria" w:eastAsia="SimSun" w:hAnsi="Cambri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E069DD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lang w:val="en-US"/>
              </w:rPr>
            </w:pPr>
            <w:r w:rsidRPr="00397732">
              <w:rPr>
                <w:rFonts w:ascii="Cambria" w:hAnsi="Cambria" w:cstheme="minorHAnsi"/>
                <w:bCs/>
                <w:sz w:val="20"/>
                <w:szCs w:val="20"/>
              </w:rPr>
              <w:t>Wszy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st</w:t>
            </w:r>
            <w:r w:rsidRPr="00397732">
              <w:rPr>
                <w:rFonts w:ascii="Cambria" w:hAnsi="Cambria" w:cstheme="minorHAnsi"/>
                <w:bCs/>
                <w:sz w:val="20"/>
                <w:szCs w:val="20"/>
              </w:rPr>
              <w:t xml:space="preserve">kie odczynniki stosowane do przeprowadzenia 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br/>
              <w:t xml:space="preserve">    </w:t>
            </w:r>
            <w:r w:rsidRPr="00397732">
              <w:rPr>
                <w:rFonts w:ascii="Cambria" w:hAnsi="Cambria" w:cstheme="minorHAnsi"/>
                <w:bCs/>
                <w:sz w:val="20"/>
                <w:szCs w:val="20"/>
              </w:rPr>
              <w:t>oznaczenia dostarczane w formie gotowej do u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ż</w:t>
            </w:r>
            <w:r w:rsidRPr="00397732">
              <w:rPr>
                <w:rFonts w:ascii="Cambria" w:hAnsi="Cambria" w:cstheme="minorHAnsi"/>
                <w:bCs/>
                <w:sz w:val="20"/>
                <w:szCs w:val="20"/>
              </w:rPr>
              <w:t xml:space="preserve">ycia, nie wymagają </w:t>
            </w:r>
            <w:r w:rsidR="00FC446A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r w:rsidRPr="00397732">
              <w:rPr>
                <w:rFonts w:ascii="Cambria" w:hAnsi="Cambria" w:cstheme="minorHAnsi"/>
                <w:bCs/>
                <w:sz w:val="20"/>
                <w:szCs w:val="20"/>
              </w:rPr>
              <w:t>dodawania komponentów.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Arial"/>
                <w:b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   TAK  </w:t>
            </w:r>
            <w:r w:rsidR="00534FFF"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– 5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="00881B37"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NIE  – 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suppressLineNumbers/>
              <w:snapToGrid w:val="0"/>
              <w:textAlignment w:val="baseline"/>
              <w:rPr>
                <w:rFonts w:ascii="Cambria" w:eastAsia="SimSun" w:hAnsi="Cambria" w:cs="Arial"/>
                <w:sz w:val="22"/>
                <w:szCs w:val="22"/>
                <w:lang w:val="en-US"/>
              </w:rPr>
            </w:pPr>
          </w:p>
        </w:tc>
      </w:tr>
      <w:tr w:rsidR="00D73409" w:rsidRPr="00FA68A7" w:rsidTr="009E103C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3409" w:rsidRDefault="00D73409" w:rsidP="009E103C">
            <w:pPr>
              <w:suppressLineNumbers/>
              <w:jc w:val="center"/>
              <w:textAlignment w:val="baseline"/>
              <w:rPr>
                <w:rFonts w:ascii="Cambria" w:eastAsia="SimSun" w:hAnsi="Cambria" w:cs="Arial"/>
                <w:sz w:val="22"/>
                <w:szCs w:val="22"/>
                <w:lang w:val="en-US"/>
              </w:rPr>
            </w:pPr>
            <w:r>
              <w:rPr>
                <w:rFonts w:ascii="Cambria" w:eastAsia="SimSun" w:hAnsi="Cambria" w:cs="Arial"/>
                <w:sz w:val="22"/>
                <w:szCs w:val="22"/>
                <w:lang w:val="en-US"/>
              </w:rPr>
              <w:t>D</w:t>
            </w:r>
            <w:r w:rsidRPr="00FA68A7">
              <w:rPr>
                <w:rFonts w:ascii="Cambria" w:eastAsia="SimSun" w:hAnsi="Cambri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3409" w:rsidRDefault="00D73409" w:rsidP="00881B37">
            <w:pPr>
              <w:widowControl/>
              <w:jc w:val="center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Dostęp użytkownika systemu do wglądu w krzywe amplifikacyjnych wygenerowane w trakcie przeprowadzanych oznaczeń.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3409" w:rsidRPr="00A01EA3" w:rsidRDefault="00D73409" w:rsidP="00FA68A7">
            <w:pPr>
              <w:widowControl/>
              <w:jc w:val="center"/>
              <w:textAlignment w:val="baseline"/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</w:pPr>
            <w:r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TAK  </w:t>
            </w:r>
            <w:r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– 5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br/>
              <w:t xml:space="preserve">     </w:t>
            </w:r>
            <w:r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NIE  – 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3409" w:rsidRPr="00FA68A7" w:rsidRDefault="00D73409" w:rsidP="00FA68A7">
            <w:pPr>
              <w:suppressLineNumbers/>
              <w:snapToGrid w:val="0"/>
              <w:textAlignment w:val="baseline"/>
              <w:rPr>
                <w:rFonts w:ascii="Cambria" w:eastAsia="SimSun" w:hAnsi="Cambria" w:cs="Arial"/>
                <w:sz w:val="22"/>
                <w:szCs w:val="22"/>
                <w:lang w:val="en-US"/>
              </w:rPr>
            </w:pPr>
          </w:p>
        </w:tc>
      </w:tr>
      <w:tr w:rsidR="00FA68A7" w:rsidRPr="00FA68A7" w:rsidTr="009E103C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D73409" w:rsidP="009E103C">
            <w:pPr>
              <w:suppressLineNumbers/>
              <w:jc w:val="center"/>
              <w:textAlignment w:val="baseline"/>
              <w:rPr>
                <w:rFonts w:ascii="Cambria" w:eastAsia="SimSun" w:hAnsi="Cambria" w:cs="Mangal"/>
                <w:sz w:val="22"/>
                <w:szCs w:val="22"/>
                <w:lang w:val="en-US"/>
              </w:rPr>
            </w:pPr>
            <w:r>
              <w:rPr>
                <w:rFonts w:ascii="Cambria" w:eastAsia="SimSun" w:hAnsi="Cambria" w:cs="Arial"/>
                <w:sz w:val="22"/>
                <w:szCs w:val="22"/>
                <w:lang w:val="en-US"/>
              </w:rPr>
              <w:t>E</w:t>
            </w:r>
            <w:r w:rsidR="00FA68A7" w:rsidRPr="00FA68A7">
              <w:rPr>
                <w:rFonts w:ascii="Cambria" w:eastAsia="SimSun" w:hAnsi="Cambri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1EA3" w:rsidRDefault="00A01EA3" w:rsidP="00881B37">
            <w:pPr>
              <w:widowControl/>
              <w:jc w:val="center"/>
              <w:textAlignment w:val="baseline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Kalibratory reakcji PCR czasu rzeczywistego są analizowane co 90 dni lub przy zmianie serii odczynników testowych.</w:t>
            </w:r>
          </w:p>
          <w:p w:rsidR="00FA68A7" w:rsidRPr="00FA68A7" w:rsidRDefault="00FA68A7" w:rsidP="00881B3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widowControl/>
              <w:jc w:val="center"/>
              <w:textAlignment w:val="baseline"/>
              <w:rPr>
                <w:rFonts w:ascii="Cambria" w:eastAsia="SimSun" w:hAnsi="Cambria" w:cs="Mangal"/>
                <w:b/>
                <w:sz w:val="22"/>
                <w:szCs w:val="22"/>
                <w:lang w:val="en-US"/>
              </w:rPr>
            </w:pP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     </w:t>
            </w:r>
            <w:r w:rsidR="00A01EA3"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TAK– 10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br/>
              <w:t xml:space="preserve">     </w:t>
            </w:r>
            <w:r w:rsidR="00881B37" w:rsidRPr="00A01EA3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   </w:t>
            </w:r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 xml:space="preserve">NIE  – 0 </w:t>
            </w:r>
            <w:proofErr w:type="spellStart"/>
            <w:r w:rsidRPr="00FA68A7">
              <w:rPr>
                <w:rFonts w:ascii="Cambria" w:eastAsia="SimSun" w:hAnsi="Cambria" w:cs="Arial"/>
                <w:b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8A7" w:rsidRPr="00FA68A7" w:rsidRDefault="00FA68A7" w:rsidP="00FA68A7">
            <w:pPr>
              <w:suppressLineNumbers/>
              <w:snapToGrid w:val="0"/>
              <w:textAlignment w:val="baseline"/>
              <w:rPr>
                <w:rFonts w:ascii="Cambria" w:eastAsia="SimSun" w:hAnsi="Cambria" w:cs="Arial"/>
                <w:sz w:val="22"/>
                <w:szCs w:val="22"/>
                <w:lang w:val="en-US"/>
              </w:rPr>
            </w:pPr>
          </w:p>
        </w:tc>
      </w:tr>
    </w:tbl>
    <w:p w:rsidR="00FA68A7" w:rsidRPr="00FA68A7" w:rsidRDefault="00FA68A7" w:rsidP="00FA68A7">
      <w:pPr>
        <w:widowControl/>
        <w:tabs>
          <w:tab w:val="left" w:pos="1260"/>
        </w:tabs>
        <w:spacing w:after="160" w:line="252" w:lineRule="auto"/>
        <w:rPr>
          <w:rFonts w:ascii="Cambria" w:eastAsia="SimSun" w:hAnsi="Cambria" w:cs="Arial"/>
          <w:sz w:val="22"/>
          <w:szCs w:val="22"/>
        </w:rPr>
      </w:pPr>
    </w:p>
    <w:p w:rsidR="00023B97" w:rsidRPr="0023662C" w:rsidRDefault="00023B97">
      <w:pPr>
        <w:rPr>
          <w:rFonts w:asciiTheme="majorHAnsi" w:hAnsiTheme="majorHAnsi"/>
        </w:rPr>
      </w:pPr>
    </w:p>
    <w:sectPr w:rsidR="00023B97" w:rsidRPr="0023662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23B97"/>
    <w:rsid w:val="0000405F"/>
    <w:rsid w:val="00023B97"/>
    <w:rsid w:val="000F311E"/>
    <w:rsid w:val="001C2F2A"/>
    <w:rsid w:val="0023662C"/>
    <w:rsid w:val="0033052E"/>
    <w:rsid w:val="00371855"/>
    <w:rsid w:val="00411E0C"/>
    <w:rsid w:val="004D5EE4"/>
    <w:rsid w:val="00534FFF"/>
    <w:rsid w:val="00572D4F"/>
    <w:rsid w:val="00622498"/>
    <w:rsid w:val="0078564D"/>
    <w:rsid w:val="00796133"/>
    <w:rsid w:val="007F5F87"/>
    <w:rsid w:val="00843D52"/>
    <w:rsid w:val="00881B37"/>
    <w:rsid w:val="0089244D"/>
    <w:rsid w:val="00896F6E"/>
    <w:rsid w:val="008B5BF5"/>
    <w:rsid w:val="008E02C9"/>
    <w:rsid w:val="00922C16"/>
    <w:rsid w:val="009805FF"/>
    <w:rsid w:val="009D5E4F"/>
    <w:rsid w:val="009E103C"/>
    <w:rsid w:val="009E466B"/>
    <w:rsid w:val="00A01EA3"/>
    <w:rsid w:val="00AB0DC1"/>
    <w:rsid w:val="00B55D90"/>
    <w:rsid w:val="00C476D5"/>
    <w:rsid w:val="00D12405"/>
    <w:rsid w:val="00D73409"/>
    <w:rsid w:val="00E069DD"/>
    <w:rsid w:val="00F94B99"/>
    <w:rsid w:val="00FA68A7"/>
    <w:rsid w:val="00FC446A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Tekstpodstawowywcity">
    <w:name w:val="Body Text Indent"/>
    <w:basedOn w:val="Normalny"/>
    <w:pPr>
      <w:ind w:firstLine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Tekstpodstawowywcity">
    <w:name w:val="Body Text Indent"/>
    <w:basedOn w:val="Normalny"/>
    <w:pPr>
      <w:ind w:firstLine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37</cp:revision>
  <cp:lastPrinted>2023-10-06T07:39:00Z</cp:lastPrinted>
  <dcterms:created xsi:type="dcterms:W3CDTF">2023-09-29T05:00:00Z</dcterms:created>
  <dcterms:modified xsi:type="dcterms:W3CDTF">2023-10-06T07:42:00Z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2023-09-25T12:09:51Z</dcterms:created>
  <dc:creator/>
  <dc:description/>
  <dc:language>pl-PL</dc:language>
  <cp:lastModifiedBy/>
  <cp:lastPrinted>2023-09-25T12:19:13Z</cp:lastPrinted>
  <dcterms:modified xsi:type="dcterms:W3CDTF">2023-09-25T12:26:38Z</dcterms:modified>
  <cp:revision>4</cp:revision>
  <dc:subject/>
  <dc:title/>
</cp:coreProperties>
</file>