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258A6CA2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F338CA">
        <w:rPr>
          <w:b/>
          <w:szCs w:val="22"/>
        </w:rPr>
        <w:t>75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668EF3A8" w:rsidR="00A57134" w:rsidRPr="009476D9" w:rsidRDefault="00F338CA" w:rsidP="005A54A7">
      <w:pPr>
        <w:spacing w:after="0" w:line="360" w:lineRule="auto"/>
        <w:rPr>
          <w:b/>
          <w:szCs w:val="22"/>
        </w:rPr>
      </w:pPr>
      <w:r w:rsidRPr="00F338CA">
        <w:rPr>
          <w:b/>
          <w:szCs w:val="22"/>
        </w:rPr>
        <w:t>Dostawa środków spożywczych specjalnego przeznaczenia medycznego.</w:t>
      </w: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9518C"/>
    <w:rsid w:val="00BF1652"/>
    <w:rsid w:val="00DA303C"/>
    <w:rsid w:val="00ED4063"/>
    <w:rsid w:val="00F338CA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Klaudia Karwacka</cp:lastModifiedBy>
  <cp:revision>7</cp:revision>
  <dcterms:created xsi:type="dcterms:W3CDTF">2023-01-10T11:27:00Z</dcterms:created>
  <dcterms:modified xsi:type="dcterms:W3CDTF">2024-07-30T10:37:00Z</dcterms:modified>
</cp:coreProperties>
</file>