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257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9560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E25787">
        <w:rPr>
          <w:rFonts w:ascii="Arial" w:hAnsi="Arial" w:cs="Arial"/>
          <w:b/>
          <w:color w:val="000000"/>
          <w:sz w:val="18"/>
          <w:szCs w:val="18"/>
        </w:rPr>
        <w:t>pakietów</w:t>
      </w:r>
      <w:r w:rsidR="00E25787" w:rsidRPr="00E25787">
        <w:rPr>
          <w:rFonts w:ascii="Arial" w:hAnsi="Arial" w:cs="Arial"/>
          <w:b/>
          <w:color w:val="000000"/>
          <w:sz w:val="18"/>
          <w:szCs w:val="18"/>
        </w:rPr>
        <w:t xml:space="preserve"> do pobierania i transportu próbek krwi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E25787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E25787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95608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A900-9A10-4A1B-8E1F-019AB533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44</cp:revision>
  <cp:lastPrinted>2018-06-08T08:39:00Z</cp:lastPrinted>
  <dcterms:created xsi:type="dcterms:W3CDTF">2022-10-10T13:27:00Z</dcterms:created>
  <dcterms:modified xsi:type="dcterms:W3CDTF">2022-12-07T10:42:00Z</dcterms:modified>
</cp:coreProperties>
</file>