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400" w:after="40"/>
        <w:ind w:hanging="0" w:left="0"/>
        <w:jc w:val="center"/>
        <w:outlineLvl w:val="0"/>
        <w:rPr>
          <w:rFonts w:ascii="Arial" w:hAnsi="Arial"/>
          <w:sz w:val="16"/>
          <w:szCs w:val="16"/>
        </w:rPr>
      </w:pPr>
      <w:bookmarkStart w:id="0" w:name="_Hlk32317423"/>
      <w:bookmarkEnd w:id="0"/>
      <w:r>
        <w:rPr>
          <w:rFonts w:eastAsia="SimSun" w:cs="Times New Roman" w:ascii="Arial" w:hAnsi="Arial"/>
          <w:b/>
          <w:caps/>
          <w:sz w:val="16"/>
          <w:szCs w:val="16"/>
          <w:lang w:eastAsia="pl-PL"/>
        </w:rPr>
        <w:t>OPIS PRZEDMIOTU ZAMÓWIENIA</w:t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/>
          <w:sz w:val="16"/>
          <w:szCs w:val="16"/>
        </w:rPr>
      </w:pPr>
      <w:r>
        <w:rPr>
          <w:rFonts w:eastAsia="Times New Roman" w:cs="Times New Roman" w:ascii="Arial" w:hAnsi="Arial"/>
          <w:b/>
          <w:sz w:val="16"/>
          <w:szCs w:val="16"/>
          <w:lang w:eastAsia="pl-PL"/>
        </w:rPr>
        <w:t xml:space="preserve">           </w:t>
      </w:r>
      <w:r>
        <w:rPr>
          <w:rFonts w:eastAsia="Times New Roman" w:cs="Times New Roman" w:ascii="Arial" w:hAnsi="Arial"/>
          <w:b/>
          <w:sz w:val="16"/>
          <w:szCs w:val="16"/>
          <w:lang w:eastAsia="pl-PL"/>
        </w:rPr>
        <w:t xml:space="preserve">na dostawę apteczek zrywanych wraz z wyposażeniem           </w:t>
      </w:r>
    </w:p>
    <w:tbl>
      <w:tblPr>
        <w:tblW w:w="14142" w:type="dxa"/>
        <w:jc w:val="left"/>
        <w:tblInd w:w="-113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561"/>
        <w:gridCol w:w="1957"/>
        <w:gridCol w:w="11624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Wymagania minimalne i charakterystyka apteczki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rPr>
                <w:rFonts w:ascii="Arial" w:hAnsi="Arial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Wymagania dotyczące produkcji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Oferowane apteczki muszą być fabrycznie nowe, tj. wyprodukowane nie później niż w 2023 roku, pochodzić z legalnego kanału dystrybucji na rynek UE.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Oferowane apteczki nie mogą być urządzeniami modelowymi,  prototypowymi, demonstracyjnymi.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Oferowane apteczki muszą posiadać deklarację zgodności i oznakowanie „CE” zgodnie z ustawą z dnia 13 kwietnia 2016 r. o systemie oceny zgodności i nadzoru rynku lub oznaczenie równoważne. Deklarację zgodności i oznakowania „CE” należy przedstawić Zamawiającemu w dniu podpisania protokołu zdawczo-odbiorczego.</w:t>
            </w:r>
          </w:p>
        </w:tc>
      </w:tr>
      <w:tr>
        <w:trPr>
          <w:trHeight w:val="285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Dane ogólne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Wymiary apteczki z wyposażeniem: maksymalnie 20 x 17 x 10 cm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Waga apteczki z wyposażeniem: maksymalne 750 g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Wyposażenie apteczki powinno zawierać: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Rękawiczki jednorazowe nitrylowe „ L” – 2 pary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Opaska zaciskowa CAT 7GEN</w:t>
            </w:r>
            <w:bookmarkStart w:id="1" w:name="_GoBack"/>
            <w:bookmarkEnd w:id="1"/>
            <w:r>
              <w:rPr>
                <w:rFonts w:cs="Times New Roman" w:ascii="Arial" w:hAnsi="Arial"/>
                <w:sz w:val="16"/>
                <w:szCs w:val="16"/>
              </w:rPr>
              <w:t xml:space="preserve">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Marker permanentny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Opatrunek indywidualny typu izraelskiego TRAUMA KIT r. 10cm x 4"- 1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Gaza skompresowana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Folia NRC (koc termiczny)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Nożyczki ratownicze metalowe 16,5 cm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Opatrunek wentylowy typu BCS Chest Seal Vented TRAUMA KIT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Opatrunek hemostatyczny Medclot – 1 szt.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Lubrykant 5g- 1 szt.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160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Rurka nosowo-gardłowa r. 7.5 – 1 szt.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Dane dotyczące pokrowca i panelu zrywanego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ind w:hanging="457" w:left="457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Materiał wykonania pokrowca: cordura.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57" w:left="457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Kolor pokrowca: czarny.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57" w:left="457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Pokrowiec na tylnej ścianie musi posiadać miękki rzep (pętelki) do przymocowania zrywanego panelu z twardym rzepem (haczyki) i taśmami MOLLE/PALS (calowe).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57" w:left="457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Pokrowiec wraz z zrywanym panelem musi być połączony oprócz rzepa taśmą MOLLE/PALS (calowa) z klamrą typu fastex.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160"/>
              <w:ind w:hanging="457" w:left="457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  <w:t>Taśmy montażowe w systemie MOLLE/PALS (o szerokości 1’)</w:t>
            </w:r>
          </w:p>
        </w:tc>
      </w:tr>
      <w:tr>
        <w:trPr>
          <w:trHeight w:val="51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Gwarancja i serwis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ind w:hanging="457" w:left="457"/>
              <w:contextualSpacing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Apteczka z wyposażeniem powinna posiadać co najmniej 24 miesięczny okres gwarancji. W przypadku awarii apteczka powinna zostać odebrana od użytkownika następnie po naprawie dostarczony pod adres wskazany przez użytkownika.</w:t>
            </w:r>
          </w:p>
        </w:tc>
      </w:tr>
      <w:tr>
        <w:trPr>
          <w:trHeight w:val="73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Dokumenty wymagane przed podpisaniem protokołu zdawczo -odbiorczego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120"/>
              <w:ind w:hanging="425" w:left="457"/>
              <w:contextualSpacing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sz w:val="16"/>
                <w:szCs w:val="16"/>
                <w:lang w:eastAsia="pl-PL"/>
              </w:rPr>
              <w:t>Wykonawca dostarczy komplet dokumentów w postaci kompletów gwarancji na dostarczone apteczki.</w:t>
            </w:r>
          </w:p>
        </w:tc>
      </w:tr>
    </w:tbl>
    <w:p>
      <w:pPr>
        <w:pStyle w:val="Normal"/>
        <w:spacing w:lineRule="auto" w:line="276" w:before="120" w:after="0"/>
        <w:jc w:val="center"/>
        <w:rPr>
          <w:rFonts w:ascii="Arial" w:hAnsi="Arial" w:eastAsia="Times New Roman" w:cs="Times New Roman"/>
          <w:b/>
          <w:color w:val="FF0000"/>
          <w:sz w:val="16"/>
          <w:szCs w:val="16"/>
          <w:lang w:eastAsia="pl-PL"/>
        </w:rPr>
      </w:pPr>
      <w:r>
        <w:rPr>
          <w:rFonts w:eastAsia="Times New Roman" w:cs="Times New Roman" w:ascii="Arial" w:hAnsi="Arial"/>
          <w:b/>
          <w:color w:val="FF0000"/>
          <w:sz w:val="16"/>
          <w:szCs w:val="16"/>
          <w:lang w:eastAsia="pl-PL"/>
        </w:rPr>
      </w:r>
      <w:bookmarkStart w:id="2" w:name="_Hlk32317423_kopia_1"/>
      <w:bookmarkStart w:id="3" w:name="_Hlk32317423_kopia_1"/>
      <w:bookmarkEnd w:id="3"/>
    </w:p>
    <w:p>
      <w:pPr>
        <w:pStyle w:val="Normal"/>
        <w:spacing w:before="0" w:after="16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70224714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</w:t>
    </w:r>
    <w:r>
      <w:rPr/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  <w:t>Kz-II.2380.3.2024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16"/>
        <w:szCs w:val="16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0c35"/>
    <w:rPr/>
  </w:style>
  <w:style w:type="character" w:styleId="StopkaZnak" w:customStyle="1">
    <w:name w:val="Stopka Znak"/>
    <w:basedOn w:val="DefaultParagraphFont"/>
    <w:uiPriority w:val="99"/>
    <w:qFormat/>
    <w:rsid w:val="00e20c3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607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e607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e607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607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c3045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cc304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252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f34c3e"/>
    <w:pPr>
      <w:spacing w:before="0" w:after="16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60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607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60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c304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B578-2B98-4F33-BE6F-7E9E1A48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2</Pages>
  <Words>328</Words>
  <Characters>1937</Characters>
  <CharactersWithSpaces>2256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2024-01-26T14:15:00Z</dcterms:created>
  <dc:creator>917098</dc:creator>
  <dc:description/>
  <dc:language>pl-PL</dc:language>
  <cp:lastModifiedBy/>
  <cp:lastPrinted>2024-01-12T12:29:00Z</cp:lastPrinted>
  <dcterms:modified xsi:type="dcterms:W3CDTF">2024-02-06T08:48:32Z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