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496ED7FA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735924">
        <w:rPr>
          <w:rFonts w:ascii="Arial" w:hAnsi="Arial" w:cs="Arial"/>
          <w:i/>
          <w:sz w:val="24"/>
          <w:szCs w:val="24"/>
        </w:rPr>
        <w:t>Sukcesywna dostawa oleju napędowego na potrzeby Gminy Kodrąb do pojazdów użytkowanych przez Zakład Gospodarki Komunalnej Gminy Kodrąb w 202</w:t>
      </w:r>
      <w:r w:rsidR="00C61586">
        <w:rPr>
          <w:rFonts w:ascii="Arial" w:hAnsi="Arial" w:cs="Arial"/>
          <w:i/>
          <w:sz w:val="24"/>
          <w:szCs w:val="24"/>
        </w:rPr>
        <w:t>4</w:t>
      </w:r>
      <w:r w:rsidR="00735924">
        <w:rPr>
          <w:rFonts w:ascii="Arial" w:hAnsi="Arial" w:cs="Arial"/>
          <w:i/>
          <w:sz w:val="24"/>
          <w:szCs w:val="24"/>
        </w:rPr>
        <w:t xml:space="preserve"> r.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735924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5BAFD150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735924" w:rsidRPr="000D1244">
        <w:rPr>
          <w:rFonts w:ascii="Arial" w:hAnsi="Arial" w:cs="Arial"/>
          <w:i/>
          <w:sz w:val="24"/>
          <w:szCs w:val="24"/>
        </w:rPr>
        <w:t>„</w:t>
      </w:r>
      <w:r w:rsidR="00735924">
        <w:rPr>
          <w:rFonts w:ascii="Arial" w:hAnsi="Arial" w:cs="Arial"/>
          <w:i/>
          <w:sz w:val="24"/>
          <w:szCs w:val="24"/>
        </w:rPr>
        <w:t>Sukcesywna dostawa oleju napędowego na potrzeby Gminy Kodrąb do pojazdów użytkowanych przez Zakład Gospodarki Komunalnej Gminy Kodrąb w 202</w:t>
      </w:r>
      <w:r w:rsidR="00C61586">
        <w:rPr>
          <w:rFonts w:ascii="Arial" w:hAnsi="Arial" w:cs="Arial"/>
          <w:i/>
          <w:sz w:val="24"/>
          <w:szCs w:val="24"/>
        </w:rPr>
        <w:t>4</w:t>
      </w:r>
      <w:r w:rsidR="00735924">
        <w:rPr>
          <w:rFonts w:ascii="Arial" w:hAnsi="Arial" w:cs="Arial"/>
          <w:i/>
          <w:sz w:val="24"/>
          <w:szCs w:val="24"/>
        </w:rPr>
        <w:t xml:space="preserve"> r.</w:t>
      </w:r>
      <w:r w:rsidR="00735924" w:rsidRPr="00F274B6">
        <w:rPr>
          <w:rFonts w:ascii="Arial" w:hAnsi="Arial" w:cs="Arial"/>
          <w:i/>
          <w:sz w:val="24"/>
          <w:szCs w:val="24"/>
        </w:rPr>
        <w:t>”</w:t>
      </w:r>
      <w:r w:rsidR="00436C09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DD20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CB29" w14:textId="77777777" w:rsidR="00DD2051" w:rsidRDefault="00DD2051" w:rsidP="00E73637">
      <w:pPr>
        <w:spacing w:after="0" w:line="240" w:lineRule="auto"/>
      </w:pPr>
      <w:r>
        <w:separator/>
      </w:r>
    </w:p>
  </w:endnote>
  <w:endnote w:type="continuationSeparator" w:id="0">
    <w:p w14:paraId="020CF4A0" w14:textId="77777777" w:rsidR="00DD2051" w:rsidRDefault="00DD2051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34CCD097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5DEE954B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2102" w14:textId="77777777" w:rsidR="00DD2051" w:rsidRDefault="00DD2051" w:rsidP="00E73637">
      <w:pPr>
        <w:spacing w:after="0" w:line="240" w:lineRule="auto"/>
      </w:pPr>
      <w:r>
        <w:separator/>
      </w:r>
    </w:p>
  </w:footnote>
  <w:footnote w:type="continuationSeparator" w:id="0">
    <w:p w14:paraId="7BE1530D" w14:textId="77777777" w:rsidR="00DD2051" w:rsidRDefault="00DD2051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B9A7" w14:textId="77777777" w:rsidR="00735924" w:rsidRPr="004C033D" w:rsidRDefault="00735924" w:rsidP="00735924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53BDFFED" w14:textId="61188053" w:rsidR="00735924" w:rsidRDefault="00735924" w:rsidP="00735924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Sukcesywna dostawa oleju napędowego na potrzeby Gminy Kodrąb do pojazdów użytkowanych przez Zakład Gospodarki Komunalnej Gminy Kodrąb w 202</w:t>
    </w:r>
    <w:r w:rsidR="00C61586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35924"/>
    <w:rsid w:val="00744A31"/>
    <w:rsid w:val="00752167"/>
    <w:rsid w:val="00755D9C"/>
    <w:rsid w:val="007604BB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61586"/>
    <w:rsid w:val="00C72516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2051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76DB7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2024-01-15T08:15:00Z</dcterms:created>
  <dcterms:modified xsi:type="dcterms:W3CDTF">2024-01-15T08:15:00Z</dcterms:modified>
</cp:coreProperties>
</file>