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F403" w14:textId="2C722946" w:rsidR="006976D2" w:rsidRDefault="006976D2" w:rsidP="00AA2014">
      <w:pPr>
        <w:pStyle w:val="mcntmcntmcntmcntmsonospacing111"/>
        <w:shd w:val="clear" w:color="auto" w:fill="FFFFFF"/>
        <w:spacing w:before="269" w:after="269"/>
        <w:jc w:val="both"/>
        <w:rPr>
          <w:color w:val="222222"/>
          <w:sz w:val="22"/>
          <w:szCs w:val="22"/>
          <w:lang w:val="en-US"/>
        </w:rPr>
      </w:pPr>
      <w:proofErr w:type="spellStart"/>
      <w:r>
        <w:rPr>
          <w:color w:val="222222"/>
          <w:sz w:val="22"/>
          <w:szCs w:val="22"/>
          <w:lang w:val="en-US"/>
        </w:rPr>
        <w:t>Próbka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tekstu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nr</w:t>
      </w:r>
      <w:proofErr w:type="spellEnd"/>
      <w:r>
        <w:rPr>
          <w:color w:val="222222"/>
          <w:sz w:val="22"/>
          <w:szCs w:val="22"/>
          <w:lang w:val="en-US"/>
        </w:rPr>
        <w:t xml:space="preserve"> 1</w:t>
      </w:r>
      <w:bookmarkStart w:id="0" w:name="_GoBack"/>
      <w:bookmarkEnd w:id="0"/>
    </w:p>
    <w:p w14:paraId="2697FC8B" w14:textId="77777777" w:rsidR="006976D2" w:rsidRDefault="006976D2" w:rsidP="00AA2014">
      <w:pPr>
        <w:pStyle w:val="mcntmcntmcntmcntmsonospacing111"/>
        <w:shd w:val="clear" w:color="auto" w:fill="FFFFFF"/>
        <w:spacing w:before="269" w:after="269"/>
        <w:jc w:val="both"/>
        <w:rPr>
          <w:color w:val="222222"/>
          <w:sz w:val="22"/>
          <w:szCs w:val="22"/>
          <w:lang w:val="en-US"/>
        </w:rPr>
      </w:pPr>
    </w:p>
    <w:p w14:paraId="32DD723D" w14:textId="031A81BB" w:rsidR="00AA2014" w:rsidRPr="00AA2014" w:rsidRDefault="00AA2014" w:rsidP="00AA2014">
      <w:pPr>
        <w:pStyle w:val="mcntmcntmcntmcntmsonospacing111"/>
        <w:shd w:val="clear" w:color="auto" w:fill="FFFFFF"/>
        <w:spacing w:before="269" w:after="269"/>
        <w:jc w:val="both"/>
        <w:rPr>
          <w:color w:val="222222"/>
          <w:sz w:val="22"/>
          <w:szCs w:val="22"/>
          <w:lang w:val="en-US"/>
        </w:rPr>
      </w:pPr>
      <w:r w:rsidRPr="00AA2014">
        <w:rPr>
          <w:color w:val="222222"/>
          <w:sz w:val="22"/>
          <w:szCs w:val="22"/>
          <w:lang w:val="en-US"/>
        </w:rPr>
        <w:t>Niezależnie od podejmowanych działań antymonopolowych, zgodzić si</w:t>
      </w:r>
      <w:r w:rsidR="001F694A">
        <w:rPr>
          <w:color w:val="222222"/>
          <w:sz w:val="22"/>
          <w:szCs w:val="22"/>
          <w:lang w:val="en-US"/>
        </w:rPr>
        <w:t>ę</w:t>
      </w:r>
      <w:r w:rsidRPr="00AA2014">
        <w:rPr>
          <w:color w:val="222222"/>
          <w:sz w:val="22"/>
          <w:szCs w:val="22"/>
          <w:lang w:val="en-US"/>
        </w:rPr>
        <w:t xml:space="preserve"> należy</w:t>
      </w:r>
      <w:r w:rsidR="001F694A">
        <w:rPr>
          <w:color w:val="222222"/>
          <w:sz w:val="22"/>
          <w:szCs w:val="22"/>
          <w:lang w:val="en-US"/>
        </w:rPr>
        <w:t>,</w:t>
      </w:r>
      <w:r w:rsidRPr="00AA2014">
        <w:rPr>
          <w:color w:val="222222"/>
          <w:sz w:val="22"/>
          <w:szCs w:val="22"/>
          <w:lang w:val="en-US"/>
        </w:rPr>
        <w:t xml:space="preserve"> że klasyczne podejście do zagadnienia porozumień antykonkurencyjnych i nadużywania pozycji dominującej i przypisania za nie odpowiedzialności mogą okazać się niewystarczające. Dlatego z zaciekawieniem przyjęliśmy nowe inicjatywy na poziomie UE, takie jak New Competition Tool czy regulacja platform ex- ante.</w:t>
      </w:r>
    </w:p>
    <w:p w14:paraId="74745364" w14:textId="77777777" w:rsidR="00AA2014" w:rsidRPr="00AA2014" w:rsidRDefault="00AA2014" w:rsidP="00AA2014">
      <w:pPr>
        <w:pStyle w:val="mcntmcntmcntmcntmsonospacing111"/>
        <w:shd w:val="clear" w:color="auto" w:fill="FFFFFF"/>
        <w:spacing w:before="269" w:after="269"/>
        <w:jc w:val="both"/>
        <w:rPr>
          <w:color w:val="222222"/>
          <w:sz w:val="22"/>
          <w:szCs w:val="22"/>
          <w:lang w:val="en-US"/>
        </w:rPr>
      </w:pPr>
      <w:r w:rsidRPr="00AA2014">
        <w:rPr>
          <w:color w:val="222222"/>
          <w:sz w:val="22"/>
          <w:szCs w:val="22"/>
          <w:lang w:val="en-US"/>
        </w:rPr>
        <w:t>Dodatkowo należy podkreślić znaczenie coraz większych dysproporcji zasobów pomiędzy biznesem (w tym techowym) a administracją, niezbędnych do wykrywania ukrytych w algorytmach mechanizmów naruszeń prawa konkurencji. Dążę do tego aby polski NCA był urzędem innowacyjnym i wyposażonym w odpowiednie narzędzia śledczo-dochodzeniowe, które mogą wykryć coraz to bardziej wyrafinowane praktyki przedsiębiorców.</w:t>
      </w:r>
    </w:p>
    <w:p w14:paraId="4E7E6FB6" w14:textId="51DAF2E1" w:rsidR="00AA2014" w:rsidRPr="00AA2014" w:rsidRDefault="00AA2014" w:rsidP="00AA2014">
      <w:pPr>
        <w:pStyle w:val="mcntmcntmcntmcntmsonospacing111"/>
        <w:shd w:val="clear" w:color="auto" w:fill="FFFFFF"/>
        <w:spacing w:before="269" w:after="269"/>
        <w:jc w:val="both"/>
        <w:rPr>
          <w:color w:val="222222"/>
          <w:sz w:val="22"/>
          <w:szCs w:val="22"/>
          <w:lang w:val="en-US"/>
        </w:rPr>
      </w:pPr>
      <w:r w:rsidRPr="00AA2014">
        <w:rPr>
          <w:color w:val="222222"/>
          <w:sz w:val="22"/>
          <w:szCs w:val="22"/>
          <w:lang w:val="en-US"/>
        </w:rPr>
        <w:t>Dlatego dostrzegam konieczność rozwoju swoich zasobów i wdrożenia nowych narzędzi informatycznych opartych o koncepcję sztucznej inteligencji dla zapewnienia jeszcze wyższego poziomu realizacji ustawowych zadań.</w:t>
      </w:r>
    </w:p>
    <w:p w14:paraId="026329F7" w14:textId="356A6A58" w:rsidR="00AA2014" w:rsidRPr="00AA2014" w:rsidRDefault="00AA2014" w:rsidP="00AA2014">
      <w:pPr>
        <w:jc w:val="both"/>
        <w:rPr>
          <w:rFonts w:ascii="Times New Roman" w:hAnsi="Times New Roman"/>
          <w:color w:val="222222"/>
          <w:lang w:val="en-US"/>
        </w:rPr>
      </w:pPr>
      <w:r w:rsidRPr="00AA2014">
        <w:rPr>
          <w:rFonts w:ascii="Times New Roman" w:hAnsi="Times New Roman"/>
          <w:color w:val="222222"/>
          <w:lang w:val="en-US"/>
        </w:rPr>
        <w:t>Rynki cyfrowe z uwagi na efekty skali i efekty sieciowe mogą wykazywać szczególną podatność na monopolizację. Istnieją uzasadnione obawy, że zachowania rynkowe niektórych dużych operatorów platform internetowych mogą stanowić ograniczenie konkurencji oraz szkodzić dobrobytowi konsumentów.</w:t>
      </w:r>
      <w:r w:rsidRPr="00AA2014">
        <w:rPr>
          <w:rFonts w:ascii="Times New Roman" w:hAnsi="Times New Roman"/>
        </w:rPr>
        <w:t xml:space="preserve"> </w:t>
      </w:r>
      <w:r w:rsidRPr="00AA2014">
        <w:rPr>
          <w:rFonts w:ascii="Times New Roman" w:hAnsi="Times New Roman"/>
          <w:color w:val="222222"/>
          <w:lang w:val="en-US"/>
        </w:rPr>
        <w:t>Przykładowo, wątpliwości  budzi podwójna rola niektórych platform, czyli sytuacja, w której operator platform, z jednej strony świadczy usługi pośrednictwa internetowego w ramach platformy, a z drugiej strony konkuruje z własnymi sprzedawcami na platformie. Tę kwestię badamy w Polsce w prowadzonym postępowaniu dotyczącym największej platformy zakupowej Allegro.</w:t>
      </w:r>
    </w:p>
    <w:p w14:paraId="30113FBF" w14:textId="77777777" w:rsidR="00AA2014" w:rsidRPr="00AA2014" w:rsidRDefault="00AA2014" w:rsidP="00AA2014">
      <w:pPr>
        <w:jc w:val="both"/>
        <w:rPr>
          <w:rFonts w:ascii="Times New Roman" w:hAnsi="Times New Roman"/>
          <w:lang w:val="en-AU"/>
        </w:rPr>
      </w:pPr>
      <w:r w:rsidRPr="00AA2014">
        <w:rPr>
          <w:rFonts w:ascii="Times New Roman" w:hAnsi="Times New Roman"/>
          <w:color w:val="222222"/>
          <w:lang w:val="en-US"/>
        </w:rPr>
        <w:t>Reforma prawa konkurencji i podejście NCA do problemu musi uwzględniać transgraniczny charakter działalności przedsiębiorców big tech. Z natury rzeczy usługi świadczone są na odległość. Lokalizacja odbiorcy wpływa w niewielkim stopniu na koszty świadczenia usługi, a bariery, które napotykają przedsiębiorcy są znikome lub relatywnie mniejsze niż w przypadku „fizycznych” dóbr i usług. Dlatego tak istotna jest współpraca pomiędzy NCA na forach właśnie takich jak ICN gdzie wspólnie możemy zastanowić się nad ww. problemami i wymienić się najlepszymi praktykami w tym zakresie.</w:t>
      </w:r>
    </w:p>
    <w:p w14:paraId="7FA327AD" w14:textId="77777777" w:rsidR="00AA2014" w:rsidRPr="00994C03" w:rsidRDefault="00AA2014" w:rsidP="00AA2014">
      <w:pPr>
        <w:rPr>
          <w:i/>
          <w:color w:val="222222"/>
          <w:lang w:val="en-US"/>
        </w:rPr>
      </w:pPr>
    </w:p>
    <w:p w14:paraId="19F0A304" w14:textId="72C007FF" w:rsidR="00604A1F" w:rsidRDefault="00604A1F"/>
    <w:p w14:paraId="1E101D66" w14:textId="0B763053" w:rsidR="00AA2014" w:rsidRDefault="00AA2014" w:rsidP="00AA2014">
      <w:pPr>
        <w:pStyle w:val="mcntmcntmcntmcntmsonospacing111"/>
        <w:shd w:val="clear" w:color="auto" w:fill="FFFFFF"/>
        <w:spacing w:before="269" w:after="269"/>
        <w:ind w:left="720"/>
        <w:rPr>
          <w:color w:val="222222"/>
          <w:sz w:val="22"/>
          <w:szCs w:val="22"/>
          <w:lang w:val="en-US"/>
        </w:rPr>
      </w:pPr>
    </w:p>
    <w:p w14:paraId="5028A323" w14:textId="42075E64" w:rsidR="00AA2014" w:rsidRDefault="00AA2014" w:rsidP="00AA2014">
      <w:pPr>
        <w:pStyle w:val="mcntmcntmcntmcntmsonospacing111"/>
        <w:shd w:val="clear" w:color="auto" w:fill="FFFFFF"/>
        <w:spacing w:before="269" w:after="269"/>
        <w:ind w:left="720"/>
        <w:rPr>
          <w:color w:val="222222"/>
          <w:sz w:val="22"/>
          <w:szCs w:val="22"/>
          <w:lang w:val="en-US"/>
        </w:rPr>
      </w:pPr>
    </w:p>
    <w:p w14:paraId="2FBCF2A7" w14:textId="7EB5BFB7" w:rsidR="00AA2014" w:rsidRDefault="00AA2014" w:rsidP="00AA2014">
      <w:pPr>
        <w:pStyle w:val="mcntmcntmcntmcntmsonospacing111"/>
        <w:shd w:val="clear" w:color="auto" w:fill="FFFFFF"/>
        <w:spacing w:before="269" w:after="269"/>
        <w:ind w:left="720"/>
        <w:rPr>
          <w:color w:val="222222"/>
          <w:sz w:val="22"/>
          <w:szCs w:val="22"/>
          <w:lang w:val="en-US"/>
        </w:rPr>
      </w:pPr>
    </w:p>
    <w:p w14:paraId="1D88C186" w14:textId="2274F6D7" w:rsidR="00AA2014" w:rsidRDefault="00AA2014" w:rsidP="00AA2014">
      <w:pPr>
        <w:pStyle w:val="mcntmcntmcntmcntmsonospacing111"/>
        <w:shd w:val="clear" w:color="auto" w:fill="FFFFFF"/>
        <w:spacing w:before="269" w:after="269"/>
        <w:ind w:left="720"/>
        <w:rPr>
          <w:color w:val="222222"/>
          <w:sz w:val="22"/>
          <w:szCs w:val="22"/>
          <w:lang w:val="en-US"/>
        </w:rPr>
      </w:pPr>
    </w:p>
    <w:p w14:paraId="7C2E62AE" w14:textId="1A8C9F7B" w:rsidR="00AA2014" w:rsidRDefault="00AA2014" w:rsidP="00AA2014">
      <w:pPr>
        <w:pStyle w:val="mcntmcntmcntmcntmsonospacing111"/>
        <w:shd w:val="clear" w:color="auto" w:fill="FFFFFF"/>
        <w:spacing w:before="269" w:after="269"/>
        <w:ind w:left="720"/>
        <w:rPr>
          <w:color w:val="222222"/>
          <w:sz w:val="22"/>
          <w:szCs w:val="22"/>
          <w:lang w:val="en-US"/>
        </w:rPr>
      </w:pPr>
    </w:p>
    <w:p w14:paraId="1FCEE550" w14:textId="5F3FE74E" w:rsidR="00AA2014" w:rsidRDefault="00AA2014" w:rsidP="00AA2014">
      <w:pPr>
        <w:pStyle w:val="mcntmcntmcntmcntmsonospacing111"/>
        <w:shd w:val="clear" w:color="auto" w:fill="FFFFFF"/>
        <w:spacing w:before="269" w:after="269"/>
        <w:ind w:left="720"/>
        <w:rPr>
          <w:color w:val="222222"/>
          <w:sz w:val="22"/>
          <w:szCs w:val="22"/>
          <w:lang w:val="en-US"/>
        </w:rPr>
      </w:pPr>
    </w:p>
    <w:p w14:paraId="1973FC20" w14:textId="77777777" w:rsidR="00DD583C" w:rsidRDefault="00DD583C" w:rsidP="00AA2014">
      <w:pPr>
        <w:pStyle w:val="mcntmcntmcntmcntmsonospacing111"/>
        <w:shd w:val="clear" w:color="auto" w:fill="FFFFFF"/>
        <w:spacing w:before="269" w:after="269"/>
        <w:ind w:left="720"/>
        <w:rPr>
          <w:color w:val="222222"/>
          <w:sz w:val="22"/>
          <w:szCs w:val="22"/>
          <w:lang w:val="en-US"/>
        </w:rPr>
      </w:pPr>
    </w:p>
    <w:p w14:paraId="4BFFB626" w14:textId="77777777" w:rsidR="00AA2014" w:rsidRDefault="00AA2014"/>
    <w:sectPr w:rsidR="00A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06BF0" w14:textId="77777777" w:rsidR="00905124" w:rsidRDefault="00905124" w:rsidP="00DD583C">
      <w:pPr>
        <w:spacing w:after="0" w:line="240" w:lineRule="auto"/>
      </w:pPr>
      <w:r>
        <w:separator/>
      </w:r>
    </w:p>
  </w:endnote>
  <w:endnote w:type="continuationSeparator" w:id="0">
    <w:p w14:paraId="0667E1D2" w14:textId="77777777" w:rsidR="00905124" w:rsidRDefault="00905124" w:rsidP="00DD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C82BE" w14:textId="77777777" w:rsidR="00905124" w:rsidRDefault="00905124" w:rsidP="00DD583C">
      <w:pPr>
        <w:spacing w:after="0" w:line="240" w:lineRule="auto"/>
      </w:pPr>
      <w:r>
        <w:separator/>
      </w:r>
    </w:p>
  </w:footnote>
  <w:footnote w:type="continuationSeparator" w:id="0">
    <w:p w14:paraId="58DC59DE" w14:textId="77777777" w:rsidR="00905124" w:rsidRDefault="00905124" w:rsidP="00DD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64A6"/>
    <w:multiLevelType w:val="hybridMultilevel"/>
    <w:tmpl w:val="7ADA5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837D1"/>
    <w:multiLevelType w:val="hybridMultilevel"/>
    <w:tmpl w:val="A66E5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B3"/>
    <w:rsid w:val="001F694A"/>
    <w:rsid w:val="00604A1F"/>
    <w:rsid w:val="00644DB3"/>
    <w:rsid w:val="006976D2"/>
    <w:rsid w:val="008646CF"/>
    <w:rsid w:val="00905124"/>
    <w:rsid w:val="00AA0DB3"/>
    <w:rsid w:val="00AA2014"/>
    <w:rsid w:val="00DD583C"/>
    <w:rsid w:val="00F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4CB8"/>
  <w15:chartTrackingRefBased/>
  <w15:docId w15:val="{8531251C-FB64-4FD9-9B4C-7AF245E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01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14"/>
    <w:pPr>
      <w:ind w:left="720"/>
      <w:contextualSpacing/>
    </w:pPr>
  </w:style>
  <w:style w:type="paragraph" w:customStyle="1" w:styleId="mcntmcntmcntmcntmsonospacing111">
    <w:name w:val="mcntmcntmcntmcntmsonospacing111"/>
    <w:basedOn w:val="Normalny"/>
    <w:rsid w:val="00AA201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8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Garyga</dc:creator>
  <cp:keywords/>
  <dc:description/>
  <cp:lastModifiedBy>Kinga Knop</cp:lastModifiedBy>
  <cp:revision>6</cp:revision>
  <dcterms:created xsi:type="dcterms:W3CDTF">2020-10-08T12:30:00Z</dcterms:created>
  <dcterms:modified xsi:type="dcterms:W3CDTF">2020-10-26T15:18:00Z</dcterms:modified>
</cp:coreProperties>
</file>