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40" w:rsidRDefault="00CF2AAD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1D40">
        <w:rPr>
          <w:rFonts w:ascii="Times New Roman" w:eastAsia="Calibri" w:hAnsi="Times New Roman" w:cs="Times New Roman"/>
          <w:sz w:val="18"/>
          <w:lang w:eastAsia="en-US"/>
        </w:rPr>
        <w:t>Załącznik nr 1</w:t>
      </w:r>
      <w:r w:rsidR="00906B0B">
        <w:rPr>
          <w:rFonts w:ascii="Times New Roman" w:eastAsia="Calibri" w:hAnsi="Times New Roman" w:cs="Times New Roman"/>
          <w:sz w:val="18"/>
          <w:lang w:eastAsia="en-US"/>
        </w:rPr>
        <w:t>.</w:t>
      </w:r>
      <w:r w:rsidR="006278C1">
        <w:rPr>
          <w:rFonts w:ascii="Times New Roman" w:eastAsia="Calibri" w:hAnsi="Times New Roman" w:cs="Times New Roman"/>
          <w:sz w:val="18"/>
          <w:lang w:eastAsia="en-US"/>
        </w:rPr>
        <w:t>1</w:t>
      </w:r>
      <w:r w:rsidR="001F1D40">
        <w:rPr>
          <w:rFonts w:ascii="Times New Roman" w:eastAsia="Calibri" w:hAnsi="Times New Roman" w:cs="Times New Roman"/>
          <w:sz w:val="18"/>
          <w:lang w:eastAsia="en-US"/>
        </w:rPr>
        <w:t xml:space="preserve"> do SWZ</w:t>
      </w:r>
    </w:p>
    <w:p w:rsidR="001F1D40" w:rsidRDefault="001F1D40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eastAsia="Calibri" w:hAnsi="Times New Roman" w:cs="Times New Roman"/>
          <w:sz w:val="18"/>
          <w:lang w:eastAsia="en-US"/>
        </w:rPr>
        <w:t xml:space="preserve">Nr wew. postępowania </w:t>
      </w:r>
      <w:r w:rsidR="008546B9">
        <w:rPr>
          <w:rFonts w:ascii="Times New Roman" w:eastAsia="Calibri" w:hAnsi="Times New Roman" w:cs="Times New Roman"/>
          <w:sz w:val="18"/>
          <w:lang w:eastAsia="en-US"/>
        </w:rPr>
        <w:t>6</w:t>
      </w:r>
      <w:r w:rsidR="00AA3641">
        <w:rPr>
          <w:rFonts w:ascii="Times New Roman" w:eastAsia="Calibri" w:hAnsi="Times New Roman" w:cs="Times New Roman"/>
          <w:sz w:val="18"/>
          <w:lang w:eastAsia="en-US"/>
        </w:rPr>
        <w:t>7</w:t>
      </w:r>
      <w:r>
        <w:rPr>
          <w:rFonts w:ascii="Times New Roman" w:eastAsia="Calibri" w:hAnsi="Times New Roman" w:cs="Times New Roman"/>
          <w:sz w:val="18"/>
          <w:lang w:eastAsia="en-US"/>
        </w:rPr>
        <w:t>/22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CF2AA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Szczegółowy opis przedmiotu zamówienia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354014">
      <w:pPr>
        <w:spacing w:line="252" w:lineRule="auto"/>
        <w:jc w:val="center"/>
      </w:pPr>
      <w:r w:rsidRPr="00354014">
        <w:rPr>
          <w:rFonts w:ascii="Times New Roman" w:hAnsi="Times New Roman" w:cs="Times New Roman"/>
          <w:b/>
          <w:color w:val="000000"/>
          <w:sz w:val="24"/>
          <w:szCs w:val="24"/>
        </w:rPr>
        <w:t>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</w:t>
      </w:r>
      <w:r w:rsidR="00906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6B0B" w:rsidRPr="00906B0B" w:rsidRDefault="00906B0B" w:rsidP="00906B0B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:rsidR="00120E22" w:rsidRPr="00120E22" w:rsidRDefault="00120E22" w:rsidP="0012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E22">
        <w:rPr>
          <w:rFonts w:ascii="Times New Roman" w:eastAsia="Times New Roman" w:hAnsi="Times New Roman" w:cs="Times New Roman"/>
          <w:sz w:val="24"/>
          <w:szCs w:val="24"/>
        </w:rPr>
        <w:t xml:space="preserve">Zadanie nr </w:t>
      </w:r>
      <w:r w:rsidR="004F28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E22" w:rsidRPr="00120E22" w:rsidRDefault="00120E22" w:rsidP="0012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E22">
        <w:rPr>
          <w:rFonts w:ascii="Times New Roman" w:eastAsia="Times New Roman" w:hAnsi="Times New Roman" w:cs="Times New Roman"/>
          <w:sz w:val="24"/>
          <w:szCs w:val="24"/>
        </w:rPr>
        <w:t>USŁUGA SPOŁECZNA</w:t>
      </w:r>
    </w:p>
    <w:p w:rsidR="00120E22" w:rsidRDefault="00120E22" w:rsidP="00120E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6EB" w:rsidRPr="000D06EB" w:rsidRDefault="000D06EB" w:rsidP="000D06EB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Opis przedmiotu zamówienia</w:t>
      </w:r>
    </w:p>
    <w:p w:rsidR="000D06EB" w:rsidRPr="000D06EB" w:rsidRDefault="000D06EB" w:rsidP="000D06E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Przeprowadzenie szkolenia w formule Online z zakresu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Crypto-Blockchain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na poziomie zaawansowanym dla 8 osób w ramach projektu pt. „Skuteczni w działaniu</w:t>
      </w: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– współpraca służb w sytuacjach zagrożenia infrastruktury krytycznej” współfinansowanego z Funduszu Bezpieczeństwa Wewnętrznego (nr 80/PL/2020/FBW).</w:t>
      </w:r>
    </w:p>
    <w:p w:rsidR="000D06EB" w:rsidRPr="000D06EB" w:rsidRDefault="000D06EB" w:rsidP="000D06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6EB" w:rsidRPr="000D06EB" w:rsidRDefault="000D06EB" w:rsidP="000D06EB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Odbiorcy szkolenia</w:t>
      </w:r>
    </w:p>
    <w:p w:rsidR="000D06EB" w:rsidRPr="000D06EB" w:rsidRDefault="000D06EB" w:rsidP="000D06E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Szkolenie przeznaczone jest dla</w:t>
      </w:r>
      <w:r w:rsidRPr="000D06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8 (ośmiu) pracowników i funkcjonariuszy – specjalistów z zakresu zwalczania cyberprzestępczości. Uczestnikami szkolenia będzie łącznie 8 osób w ramach jednej grupy szkoleniowej.</w:t>
      </w:r>
    </w:p>
    <w:p w:rsidR="000D06EB" w:rsidRPr="000D06EB" w:rsidRDefault="000D06EB" w:rsidP="000D06E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6EB" w:rsidRPr="000D06EB" w:rsidRDefault="000D06EB" w:rsidP="000D06EB">
      <w:pPr>
        <w:numPr>
          <w:ilvl w:val="0"/>
          <w:numId w:val="6"/>
        </w:numPr>
        <w:suppressAutoHyphens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Wymagania ogólne dotyczące realizacji szkolenia</w:t>
      </w:r>
    </w:p>
    <w:p w:rsidR="000D06EB" w:rsidRPr="000D06EB" w:rsidRDefault="000D06EB" w:rsidP="000D06EB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Hlk18911731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Wykonawca szkolenia zapewni dla każdego uczestnika dostęp do platformy szkoleniowej do komunikacji audio/video dającej możliwość przeprowadzenia</w:t>
      </w: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na żywo, przy użyciu sieci Internet, zajęć teoretycznych i praktycznych z możliwością udostępniania obrazu z pulpitu zarówno przez prowadzących, jak i uczestników. Indywidualne stanowiska robocze (komputery kursantów) zostaną zapewnione przez Zamawiającego</w:t>
      </w:r>
      <w:r w:rsidRPr="000D06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0D06EB" w:rsidRPr="000D06EB" w:rsidRDefault="000D06EB" w:rsidP="000D06EB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Wykonawca przeprowadzi szkolenie w języku polskim.</w:t>
      </w:r>
    </w:p>
    <w:p w:rsidR="000D06EB" w:rsidRPr="000D06EB" w:rsidRDefault="000D06EB" w:rsidP="000D06EB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Szkolenie odbędzie się w ramach jednej</w:t>
      </w:r>
      <w:r w:rsidRPr="000D06E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grupy szkoleniowej.</w:t>
      </w:r>
    </w:p>
    <w:p w:rsidR="000D06EB" w:rsidRPr="000D06EB" w:rsidRDefault="000D06EB" w:rsidP="000D06EB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Wykonawca w uzgodnieniu z Zamawiającym wyznaczy termin realizacji szkolenia.</w:t>
      </w:r>
    </w:p>
    <w:p w:rsidR="000D06EB" w:rsidRPr="000D06EB" w:rsidRDefault="000D06EB" w:rsidP="000D06EB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Szkolenie musi obejmować 2 kolejne dni robocze, łącznie 14 godzin szkoleniowych.</w:t>
      </w:r>
    </w:p>
    <w:p w:rsidR="000D06EB" w:rsidRPr="000D06EB" w:rsidRDefault="000D06EB" w:rsidP="000D06EB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Każdy dzień szkoleniowy to min. 7 godzin zegarowych. </w:t>
      </w:r>
      <w:r w:rsidRPr="000D06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Dokładny harmonogram dzienny szkolenia zostanie uzgodniony z Wykonawcą w ramach kontaktów roboczych.</w:t>
      </w:r>
    </w:p>
    <w:p w:rsidR="000D06EB" w:rsidRPr="000D06EB" w:rsidRDefault="000D06EB" w:rsidP="000D06EB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Wykonawca zapewnia materiały szkoleniowe odpowiednie dla tematyki szkolenia,</w:t>
      </w: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dla każdego z uczestników szkolenia. Materiały szkoleniowe muszą być przygotowane w języku polskim. Materiały szkoleniowe mogą być w formie papierowej lub w formie elektronicznej. Koszty opracowania, powielenia i transportu materiałów szkoleniowych ponosi Wykonawca. Wykonawca ponosi pełną odpowiedzialność za zgodność merytoryczną oraz aktualność przekazywanych danych/informacji w materiałach szkoleniowych.</w:t>
      </w:r>
    </w:p>
    <w:p w:rsidR="000D06EB" w:rsidRPr="000D06EB" w:rsidRDefault="000D06EB" w:rsidP="000D06EB">
      <w:pPr>
        <w:numPr>
          <w:ilvl w:val="0"/>
          <w:numId w:val="9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Uczestnicy otrzymają imienne certyfikaty ukończenia szkolenia, sygnowane przez Wykonawcę oraz podpisane przez trenera.</w:t>
      </w:r>
    </w:p>
    <w:bookmarkEnd w:id="0"/>
    <w:p w:rsidR="000D06EB" w:rsidRPr="000D06EB" w:rsidRDefault="000D06EB" w:rsidP="000D06EB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D06EB" w:rsidRPr="000D06EB" w:rsidRDefault="000D06EB" w:rsidP="000D06EB">
      <w:pPr>
        <w:numPr>
          <w:ilvl w:val="0"/>
          <w:numId w:val="6"/>
        </w:numPr>
        <w:suppressAutoHyphens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Zakres merytoryczny szkolenia</w:t>
      </w:r>
    </w:p>
    <w:p w:rsidR="000D06EB" w:rsidRPr="000D06EB" w:rsidRDefault="000D06EB" w:rsidP="000D06EB">
      <w:pPr>
        <w:suppressAutoHyphens/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Zakres merytoryczny szkolenia musi obejmować następujące elementy:</w:t>
      </w:r>
    </w:p>
    <w:p w:rsidR="000D06EB" w:rsidRPr="000D06EB" w:rsidRDefault="000D06EB" w:rsidP="000D06EB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Podstawy teoretyczne oraz technologia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Blockchain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• Podstawowe definicje</w:t>
      </w:r>
    </w:p>
    <w:p w:rsidR="000D06EB" w:rsidRPr="000D06EB" w:rsidRDefault="000D06EB" w:rsidP="000D06EB">
      <w:pPr>
        <w:suppressAutoHyphens/>
        <w:spacing w:after="0"/>
        <w:ind w:left="708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Omówienie działania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Blockchain</w:t>
      </w:r>
      <w:proofErr w:type="spellEnd"/>
    </w:p>
    <w:p w:rsidR="000D06EB" w:rsidRPr="000D06EB" w:rsidRDefault="000D06EB" w:rsidP="000D06EB">
      <w:pPr>
        <w:suppressAutoHyphens/>
        <w:spacing w:after="0"/>
        <w:ind w:left="708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• Zalety i wady</w:t>
      </w:r>
    </w:p>
    <w:p w:rsidR="000D06EB" w:rsidRPr="000D06EB" w:rsidRDefault="000D06EB" w:rsidP="000D06EB">
      <w:pPr>
        <w:suppressAutoHyphens/>
        <w:spacing w:after="0"/>
        <w:ind w:left="708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Przykładowe zastosowania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Blockchain</w:t>
      </w:r>
      <w:proofErr w:type="spellEnd"/>
    </w:p>
    <w:p w:rsidR="000D06EB" w:rsidRPr="000D06EB" w:rsidRDefault="000D06EB" w:rsidP="000D06EB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Kryptowaluty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anonimowe 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Charakterystyka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kryptowalut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anonimowych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Różnice pomiędzy wybranymi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kryptowalutami</w:t>
      </w:r>
      <w:proofErr w:type="spellEnd"/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Przykłady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kryptowalut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anonimowych i ich przewaga nad innymi</w:t>
      </w:r>
    </w:p>
    <w:p w:rsidR="000D06EB" w:rsidRPr="000D06EB" w:rsidRDefault="000D06EB" w:rsidP="000D06EB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Mixery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kryptowalut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• Zasada działania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• Anonimowość mieszania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Tubmlebit</w:t>
      </w:r>
      <w:proofErr w:type="spellEnd"/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Bitcoin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Laundry</w:t>
      </w:r>
      <w:proofErr w:type="spellEnd"/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Bitcoin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Blender</w:t>
      </w:r>
      <w:proofErr w:type="spellEnd"/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CryptoMixer</w:t>
      </w:r>
      <w:proofErr w:type="spellEnd"/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Bitcoin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Fog</w:t>
      </w:r>
      <w:proofErr w:type="spellEnd"/>
    </w:p>
    <w:p w:rsidR="000D06EB" w:rsidRPr="000D06EB" w:rsidRDefault="000D06EB" w:rsidP="000D06EB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Portfele walut </w:t>
      </w:r>
    </w:p>
    <w:p w:rsidR="000D06EB" w:rsidRPr="000D06EB" w:rsidRDefault="000D06EB" w:rsidP="000D06EB">
      <w:pPr>
        <w:suppressAutoHyphens/>
        <w:spacing w:after="0"/>
        <w:ind w:left="708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• Rodzaje portfeli walut – opis/ charakterystyka, różnice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• Tworzenie portfela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• Analiza portfela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• Zagrożenia i bezpieczeństwo</w:t>
      </w:r>
    </w:p>
    <w:p w:rsidR="000D06EB" w:rsidRPr="000D06EB" w:rsidRDefault="000D06EB" w:rsidP="000D06EB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Operacje na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kryptowalutach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D06EB" w:rsidRPr="000D06EB" w:rsidRDefault="000D06EB" w:rsidP="000D06EB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Techniki śledzenia przepływów walut cyfrowych</w:t>
      </w:r>
    </w:p>
    <w:p w:rsidR="000D06EB" w:rsidRPr="000D06EB" w:rsidRDefault="000D06EB" w:rsidP="000D06EB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Metody</w:t>
      </w:r>
      <w:bookmarkStart w:id="1" w:name="_GoBack"/>
      <w:bookmarkEnd w:id="1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deanonimizacji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, wykorzystywanie dedykowanych narzędzi</w:t>
      </w:r>
    </w:p>
    <w:p w:rsidR="000D06EB" w:rsidRPr="000D06EB" w:rsidRDefault="000D06EB" w:rsidP="000D06EB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Analiza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Bitcoin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D06EB" w:rsidRPr="000D06EB" w:rsidRDefault="000D06EB" w:rsidP="000D06EB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_Hlk106627977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Aspekty prawne walut cyfrowych.</w:t>
      </w:r>
    </w:p>
    <w:bookmarkEnd w:id="2"/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• Omówienie aspektów prawnych</w:t>
      </w:r>
    </w:p>
    <w:p w:rsidR="000D06EB" w:rsidRPr="000D06EB" w:rsidRDefault="000D06EB" w:rsidP="000D06EB">
      <w:pPr>
        <w:numPr>
          <w:ilvl w:val="0"/>
          <w:numId w:val="8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Regulacje i przykłady dotyczące defraudacji</w:t>
      </w:r>
    </w:p>
    <w:p w:rsidR="000D06EB" w:rsidRPr="000D06EB" w:rsidRDefault="000D06EB" w:rsidP="000D06EB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Mikropłatności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• Sposób działania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Thunder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Network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Bitcoin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Lightning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Network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SatoshiPay</w:t>
      </w:r>
      <w:proofErr w:type="spellEnd"/>
    </w:p>
    <w:p w:rsidR="000D06EB" w:rsidRPr="000D06EB" w:rsidRDefault="000D06EB" w:rsidP="000D06EB">
      <w:pPr>
        <w:numPr>
          <w:ilvl w:val="0"/>
          <w:numId w:val="8"/>
        </w:numPr>
        <w:suppressAutoHyphens/>
        <w:spacing w:after="0"/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Wirtualne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tokeny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Tokenizacja</w:t>
      </w:r>
      <w:proofErr w:type="spellEnd"/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Przykłady zastosowania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tokenizacji</w:t>
      </w:r>
      <w:proofErr w:type="spellEnd"/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• ICO</w:t>
      </w:r>
    </w:p>
    <w:p w:rsidR="000D06EB" w:rsidRPr="000D06EB" w:rsidRDefault="000D06EB" w:rsidP="000D06EB">
      <w:pPr>
        <w:suppressAutoHyphens/>
        <w:spacing w:after="0"/>
        <w:ind w:left="141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Instrumenty finansowe, nieruchomości, unikalne produkty, </w:t>
      </w:r>
      <w:proofErr w:type="spellStart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>tokeny</w:t>
      </w:r>
      <w:proofErr w:type="spellEnd"/>
      <w:r w:rsidRPr="000D0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personalne</w:t>
      </w:r>
    </w:p>
    <w:p w:rsidR="006278C1" w:rsidRPr="003A105F" w:rsidRDefault="006278C1" w:rsidP="00AA36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78C1" w:rsidRPr="003A105F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619" w:rsidRDefault="00BD7619">
      <w:pPr>
        <w:spacing w:after="0" w:line="240" w:lineRule="auto"/>
      </w:pPr>
      <w:r>
        <w:separator/>
      </w:r>
    </w:p>
  </w:endnote>
  <w:endnote w:type="continuationSeparator" w:id="0">
    <w:p w:rsidR="00BD7619" w:rsidRDefault="00BD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870229"/>
      <w:docPartObj>
        <w:docPartGallery w:val="Page Numbers (Bottom of Page)"/>
        <w:docPartUnique/>
      </w:docPartObj>
    </w:sdtPr>
    <w:sdtEndPr/>
    <w:sdtContent>
      <w:p w:rsidR="00DB1B47" w:rsidRDefault="00CF2AAD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DB1B47" w:rsidRDefault="00DB1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619" w:rsidRDefault="00BD7619">
      <w:pPr>
        <w:spacing w:after="0" w:line="240" w:lineRule="auto"/>
      </w:pPr>
      <w:r>
        <w:separator/>
      </w:r>
    </w:p>
  </w:footnote>
  <w:footnote w:type="continuationSeparator" w:id="0">
    <w:p w:rsidR="00BD7619" w:rsidRDefault="00BD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47" w:rsidRDefault="00CF2AAD">
    <w:pPr>
      <w:pStyle w:val="Nagwek"/>
    </w:pPr>
    <w:r>
      <w:rPr>
        <w:noProof/>
      </w:rPr>
      <w:drawing>
        <wp:inline distT="0" distB="0" distL="0" distR="0">
          <wp:extent cx="575183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055"/>
    <w:multiLevelType w:val="hybridMultilevel"/>
    <w:tmpl w:val="8DCA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057F0"/>
    <w:multiLevelType w:val="hybridMultilevel"/>
    <w:tmpl w:val="C6CE460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9124D89"/>
    <w:multiLevelType w:val="hybridMultilevel"/>
    <w:tmpl w:val="6B56391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1FCFDBA">
      <w:start w:val="6"/>
      <w:numFmt w:val="bullet"/>
      <w:lvlText w:val="•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BC4B92"/>
    <w:multiLevelType w:val="multilevel"/>
    <w:tmpl w:val="E5F6A6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FAD71C2"/>
    <w:multiLevelType w:val="multilevel"/>
    <w:tmpl w:val="D8FCED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67A121E"/>
    <w:multiLevelType w:val="hybridMultilevel"/>
    <w:tmpl w:val="5E149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482B8F"/>
    <w:multiLevelType w:val="hybridMultilevel"/>
    <w:tmpl w:val="D3668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47"/>
    <w:rsid w:val="000C4419"/>
    <w:rsid w:val="000D06EB"/>
    <w:rsid w:val="000D1873"/>
    <w:rsid w:val="00120E22"/>
    <w:rsid w:val="001F1D40"/>
    <w:rsid w:val="00354014"/>
    <w:rsid w:val="0045239B"/>
    <w:rsid w:val="004F28BE"/>
    <w:rsid w:val="005F5793"/>
    <w:rsid w:val="006278C1"/>
    <w:rsid w:val="006778C7"/>
    <w:rsid w:val="006952DD"/>
    <w:rsid w:val="007E469F"/>
    <w:rsid w:val="008546B9"/>
    <w:rsid w:val="00906B0B"/>
    <w:rsid w:val="00A22FFA"/>
    <w:rsid w:val="00A842E5"/>
    <w:rsid w:val="00AA3641"/>
    <w:rsid w:val="00BD7619"/>
    <w:rsid w:val="00CA29BD"/>
    <w:rsid w:val="00CF2AAD"/>
    <w:rsid w:val="00DB1B47"/>
    <w:rsid w:val="00E70195"/>
    <w:rsid w:val="00E74407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94DC1-E641-4892-8D24-03E6527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D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66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66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465B"/>
  </w:style>
  <w:style w:type="character" w:customStyle="1" w:styleId="NagwekZnak">
    <w:name w:val="Nagłówek Znak"/>
    <w:basedOn w:val="Domylnaczcionkaakapitu"/>
    <w:link w:val="Nagwek"/>
    <w:uiPriority w:val="99"/>
    <w:qFormat/>
    <w:rsid w:val="00D4465B"/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01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664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6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5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55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5532"/>
    <w:rPr>
      <w:b/>
      <w:bCs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 w:val="0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color w:val="182C28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5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5532"/>
    <w:rPr>
      <w:b/>
      <w:bCs/>
    </w:rPr>
  </w:style>
  <w:style w:type="paragraph" w:customStyle="1" w:styleId="Standard">
    <w:name w:val="Standard"/>
    <w:qFormat/>
    <w:rsid w:val="00896C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896C9B"/>
    <w:pPr>
      <w:suppressLineNumbers/>
    </w:pPr>
  </w:style>
  <w:style w:type="table" w:styleId="Tabela-Siatka">
    <w:name w:val="Table Grid"/>
    <w:basedOn w:val="Standardowy"/>
    <w:uiPriority w:val="59"/>
    <w:rsid w:val="00FB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6278C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F198-4AAC-4160-8FEC-23FF0CB1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A70406</cp:lastModifiedBy>
  <cp:revision>6</cp:revision>
  <cp:lastPrinted>2022-08-23T10:16:00Z</cp:lastPrinted>
  <dcterms:created xsi:type="dcterms:W3CDTF">2022-10-05T06:38:00Z</dcterms:created>
  <dcterms:modified xsi:type="dcterms:W3CDTF">2022-10-17T06:59:00Z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