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4460" w14:textId="77777777" w:rsidR="000350BB" w:rsidRPr="000350BB" w:rsidRDefault="00DC1D37">
      <w:pPr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Pytania do Część 2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1. Komputer stacjonarny gamingowy z oprogramowaniem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1.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Zamawiający podaje „Procesor: Intel Core i5 10400F (6 rdzeni, od 2.90 GHz do 4.30 GHz, 12 MB cache)”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Zamawiający w postępowaniu używa nazwy własnej konkretnego procesora.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W związku z czym, zwracamy się do Zamawiającego o dopuszczenie na zasadach równoważności, o których mówi Ustawa Prawo zamówień publicznych, możliwości zaoferowania procesora równoważnego określając jego wydajność parametrem benchmark na stronie https://www.cpubenchmark.net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Opisywanie wymagań dla procesora jego wydajnością benchmark, jest ogólnie przyjętą praktyką w sektorze zamówień publicznych.</w:t>
      </w:r>
    </w:p>
    <w:p w14:paraId="433B9150" w14:textId="77777777" w:rsidR="000350BB" w:rsidRPr="000350BB" w:rsidRDefault="000350BB" w:rsidP="000350B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350BB">
        <w:rPr>
          <w:rFonts w:ascii="Cambria" w:eastAsia="Calibri" w:hAnsi="Cambria" w:cs="Times New Roman"/>
          <w:sz w:val="24"/>
          <w:szCs w:val="24"/>
        </w:rPr>
        <w:t>Odpowiedź:</w:t>
      </w:r>
    </w:p>
    <w:p w14:paraId="5D70E40D" w14:textId="73BA0AC1" w:rsidR="000350BB" w:rsidRPr="000350BB" w:rsidRDefault="000350BB" w:rsidP="000350B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350BB">
        <w:rPr>
          <w:rFonts w:ascii="Cambria" w:eastAsia="Calibri" w:hAnsi="Cambria" w:cs="Times New Roman"/>
          <w:sz w:val="24"/>
          <w:szCs w:val="24"/>
        </w:rPr>
        <w:t xml:space="preserve">Ustosunkowując się do treści pytania, Zamawiający zgodnie z III pkt. 3 Opisu przedmiotu zamówienia SWZ dopuszcza możliwość zaoferowania produktu  równoważnego . Do  oceny równoważności w zakresie parametru wydajności oferowanego procesora oraz zgodności z opisem zamówienia posłużą wyniki testów porównawczych dostępnych na stronie </w:t>
      </w:r>
      <w:hyperlink r:id="rId4" w:history="1">
        <w:r w:rsidRPr="000350BB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https://www.cpubenchmark.net</w:t>
        </w:r>
      </w:hyperlink>
      <w:r w:rsidRPr="000350BB">
        <w:rPr>
          <w:rFonts w:ascii="Cambria" w:eastAsia="Calibri" w:hAnsi="Cambria" w:cs="Times New Roman"/>
          <w:sz w:val="24"/>
          <w:szCs w:val="24"/>
        </w:rPr>
        <w:t xml:space="preserve">. </w:t>
      </w:r>
    </w:p>
    <w:p w14:paraId="6F23CD14" w14:textId="77777777" w:rsidR="0063704F" w:rsidRDefault="000350BB" w:rsidP="000350B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350BB">
        <w:rPr>
          <w:rFonts w:ascii="Cambria" w:eastAsia="Calibri" w:hAnsi="Cambria" w:cs="Times New Roman"/>
          <w:sz w:val="24"/>
          <w:szCs w:val="24"/>
        </w:rPr>
        <w:t>Jednocześnie informujemy, że na Wykonawcy spoczywa ciężar wskazania równoważności oraz obowiązek zapewnienia wskaźników określonych w OPZ .  Wykonawca  powinien  oferując zrównoważony procesor zwrócić uwagę na kompatybilność  procesora z pozostałymi podzespołami wchodzącymi w skład zestawu dedykowanego dla graczy, które mogą się przekładać  na ogólną wydajność jednostki centralnej , płynność działania aplikacji i stabilną pracę komputera.</w:t>
      </w:r>
    </w:p>
    <w:p w14:paraId="29B9E230" w14:textId="48333277" w:rsidR="000350BB" w:rsidRPr="000350BB" w:rsidRDefault="00DC1D37" w:rsidP="000350B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4 Monitor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1.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Czy Zamawiający dopuści monitor w przekątną ekranu 23,8”? Różnica 0,2” nie wpłynie na komfort eksploatacyjny użytkowników, a poprawi konkurencyjność postępowania co pozwoli na zaoferowanie szerszej gamy monitorów w konkurencyjnych cenach.</w:t>
      </w:r>
    </w:p>
    <w:p w14:paraId="47651BEC" w14:textId="77777777" w:rsidR="000350BB" w:rsidRPr="000350BB" w:rsidRDefault="000350BB" w:rsidP="000350B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350BB">
        <w:rPr>
          <w:rFonts w:ascii="Cambria" w:eastAsia="Calibri" w:hAnsi="Cambria" w:cs="Times New Roman"/>
          <w:sz w:val="24"/>
          <w:szCs w:val="24"/>
        </w:rPr>
        <w:t>Odpowiedź:</w:t>
      </w:r>
    </w:p>
    <w:p w14:paraId="28C9AE45" w14:textId="5C2F4EED" w:rsidR="000350BB" w:rsidRPr="000350BB" w:rsidRDefault="000350BB" w:rsidP="000350BB">
      <w:pPr>
        <w:spacing w:after="200" w:line="276" w:lineRule="auto"/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eastAsia="Calibri" w:hAnsi="Cambria" w:cs="Times New Roman"/>
          <w:sz w:val="24"/>
          <w:szCs w:val="24"/>
        </w:rPr>
        <w:t>Zamawiający dopuszcza możliwość zaoferowania monitora o innej przekątnej ekranu niż 24” pod warunkiem , że odchylenie o przyjętej w OPZ wielkości przekątnej ekranu nie będzie wynosić więcej niż 0,2 cala.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2.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 xml:space="preserve">Czy złącza min. 1 x HDMI, 1 x DisplayPort, 1 x słuchawkowe, min. 1 x USB, mają być </w:t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lastRenderedPageBreak/>
        <w:t>złączami wbudowanymi, czy też Zamawiający, w celu wymaganych ilości i typów złącz, dopuszcza zastosowanie adapterów/przejściówek?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/>
          <w:sz w:val="24"/>
          <w:szCs w:val="24"/>
        </w:rPr>
        <w:t>Odpowiedź:</w:t>
      </w:r>
    </w:p>
    <w:p w14:paraId="3D533D3F" w14:textId="77777777" w:rsidR="000350BB" w:rsidRPr="000350BB" w:rsidRDefault="000350BB" w:rsidP="000350BB">
      <w:pPr>
        <w:spacing w:after="200" w:line="276" w:lineRule="auto"/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/>
          <w:sz w:val="24"/>
          <w:szCs w:val="24"/>
        </w:rPr>
        <w:t>Zamawiający wymaga by złącza były wbudowane wykluczając tym samym możliwość zastosowania adapterów/ przejściówek w celu spełnienia minimalnych ilości i typów złącz określonych w specyfikacji przedmiotu zamówienia.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Pytania do Część 5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1 Zestaw: komputer stacjonarny z urządzeniami peryferyjnymi oraz oprogramowaniem biurowym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1.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Zamawiający podaje „Procesor: Intel Core i7”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Zamawiający w postępowaniu używa nazwy własnej konkretnego procesora.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W związku z czym, zwracamy się do Zamawiającego o dopuszczenie na zasadach równoważności, o których mówi Ustawa Prawo zamówień publicznych, możliwości zaoferowania procesora równoważnego określając jego wydajność parametrem benchmark na stronie https://www.cpubenchmark.net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Opisywanie wymagań dla procesora jego wydajnością benchmark, jest ogólnie przyjętą praktyką w sektorze zamówień publicznych.</w:t>
      </w:r>
    </w:p>
    <w:p w14:paraId="295C66A1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1C537608" w14:textId="1BBFD508" w:rsidR="000350BB" w:rsidRPr="000350BB" w:rsidRDefault="000350BB" w:rsidP="000350BB">
      <w:pPr>
        <w:rPr>
          <w:rFonts w:ascii="Cambria" w:hAnsi="Cambria"/>
          <w:sz w:val="24"/>
          <w:szCs w:val="24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Dopuszczamy możliwości zaoferowania procesora równoważnego, określając jego wydajność parametrem benchmark na stronie </w:t>
      </w:r>
      <w:hyperlink r:id="rId5" w:history="1">
        <w:r w:rsidRPr="000350BB">
          <w:rPr>
            <w:rStyle w:val="colour"/>
            <w:rFonts w:ascii="Cambria" w:hAnsi="Cambria" w:cs="Times New Roman"/>
            <w:color w:val="0076FF"/>
            <w:sz w:val="24"/>
            <w:szCs w:val="24"/>
            <w:u w:val="single"/>
            <w:shd w:val="clear" w:color="auto" w:fill="FFFFFF"/>
          </w:rPr>
          <w:t>https://www.cpubenchmark.net</w:t>
        </w:r>
      </w:hyperlink>
    </w:p>
    <w:p w14:paraId="71CDB300" w14:textId="4B7F6DE7" w:rsidR="000350BB" w:rsidRPr="000350BB" w:rsidRDefault="00DC1D37" w:rsidP="000350BB">
      <w:pPr>
        <w:spacing w:after="200" w:line="276" w:lineRule="auto"/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2.</w:t>
      </w:r>
      <w:r w:rsidRPr="000350BB">
        <w:rPr>
          <w:rFonts w:ascii="Cambria" w:hAnsi="Cambria" w:cs="Helvetica"/>
          <w:color w:val="666666"/>
          <w:sz w:val="24"/>
          <w:szCs w:val="24"/>
        </w:rPr>
        <w:br/>
      </w:r>
      <w:r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Czy Zamawiający, gdyż dostawa dotyczy placówki edukacyjnej, dopuści wersje edukacyjnego systemu Win 10Pro oraz pakietu biurowego MS Office 2019?</w:t>
      </w:r>
    </w:p>
    <w:p w14:paraId="3CCC6F3A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61651169" w14:textId="77777777" w:rsidR="000350BB" w:rsidRPr="000350BB" w:rsidRDefault="000350BB" w:rsidP="000350BB">
      <w:pPr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/>
          <w:sz w:val="24"/>
          <w:szCs w:val="24"/>
        </w:rPr>
        <w:t>Dopuszczamy wersje edukacyjnego systemu Win 10Pro oraz pakietu biurowego MS Office 2019</w:t>
      </w:r>
      <w:r w:rsidRPr="000350BB">
        <w:rPr>
          <w:rFonts w:ascii="Cambria" w:hAnsi="Cambria"/>
          <w:sz w:val="24"/>
          <w:szCs w:val="24"/>
        </w:rPr>
        <w:t>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Pytanie 3.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Czy Zamawiający dopuści monitor w przekątną ekranu 23,8”? Różnica 0,2” nie wpłynie na komfort eksploatacyjny użytkowników, a poprawi konkurencyjność postępowania co pozwoli na zaoferowanie szerszej gamy monitorów w konkurencyjnych cenach.</w:t>
      </w:r>
    </w:p>
    <w:p w14:paraId="09D3D512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24E922D2" w14:textId="77777777" w:rsidR="000350BB" w:rsidRPr="000350BB" w:rsidRDefault="000350BB" w:rsidP="000350BB">
      <w:pPr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/>
          <w:sz w:val="24"/>
          <w:szCs w:val="24"/>
        </w:rPr>
        <w:t>Dopuszczamy monitor w przekątną ekranu 23,8”.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4 Wizualizer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 xml:space="preserve">Czy Zamawiający dopuści wizualizer z przetwornikiem Sensor (przetwornik): 1/3.06 </w:t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lastRenderedPageBreak/>
        <w:t>CMOS? Zmiana 1/3.20 CMOS będzie nieodczuwalna dla użytkowników i nie wpłynie w żaden sposób na komfort eksploatacji.</w:t>
      </w:r>
    </w:p>
    <w:p w14:paraId="1EA1D494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09A32BE2" w14:textId="77777777" w:rsidR="000350BB" w:rsidRPr="000350BB" w:rsidRDefault="000350BB" w:rsidP="000350BB">
      <w:pPr>
        <w:rPr>
          <w:rFonts w:ascii="Cambria" w:hAnsi="Cambria" w:cs="Helvetica"/>
          <w:color w:val="666666"/>
          <w:sz w:val="24"/>
          <w:szCs w:val="24"/>
          <w:shd w:val="clear" w:color="auto" w:fill="FFFFFF"/>
        </w:rPr>
      </w:pPr>
      <w:r w:rsidRPr="000350BB">
        <w:rPr>
          <w:rFonts w:ascii="Cambria" w:hAnsi="Cambria"/>
          <w:sz w:val="24"/>
          <w:szCs w:val="24"/>
        </w:rPr>
        <w:t>Dopuszczamy wizualizer z przetwornikiem Sensor (przetwornik): 1/3.06 CMOS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5 Niszczarka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Prosimy o podanie jeszcze raz wymagań dla niszczarki. Nie jest możliwe dobranie rozwiązania, które spełniałoby wymóg „stopień tajności O-3P-3P-4T-4”</w:t>
      </w:r>
    </w:p>
    <w:p w14:paraId="4164FEB8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15366677" w14:textId="77777777" w:rsidR="000350BB" w:rsidRPr="000350BB" w:rsidRDefault="000350BB" w:rsidP="000350BB">
      <w:pPr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</w:pPr>
      <w:r w:rsidRPr="000350BB"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  <w:t>Sposób niszczenia: ścinki</w:t>
      </w:r>
    </w:p>
    <w:p w14:paraId="630599DA" w14:textId="77777777" w:rsidR="000350BB" w:rsidRPr="000350BB" w:rsidRDefault="000350BB" w:rsidP="000350BB">
      <w:pPr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</w:pPr>
      <w:r w:rsidRPr="000350BB"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  <w:t>Niszczenie jednorazowe [szt.]: 12</w:t>
      </w:r>
    </w:p>
    <w:p w14:paraId="2E8E7F37" w14:textId="72A817A6" w:rsidR="004E5667" w:rsidRPr="0063704F" w:rsidRDefault="000350BB" w:rsidP="000350BB">
      <w:pPr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</w:pPr>
      <w:r w:rsidRPr="000350BB">
        <w:rPr>
          <w:rFonts w:ascii="Cambria" w:hAnsi="Cambria" w:cs="Times New Roman"/>
          <w:color w:val="282828"/>
          <w:sz w:val="24"/>
          <w:szCs w:val="24"/>
          <w:shd w:val="clear" w:color="auto" w:fill="FFFFFF"/>
        </w:rPr>
        <w:t>Niszczenie płyt CD/DVD: TAK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Poz. 6 Kserokopiarka</w:t>
      </w:r>
      <w:r w:rsidR="00DC1D37" w:rsidRPr="000350BB">
        <w:rPr>
          <w:rFonts w:ascii="Cambria" w:hAnsi="Cambria" w:cs="Helvetica"/>
          <w:color w:val="666666"/>
          <w:sz w:val="24"/>
          <w:szCs w:val="24"/>
        </w:rPr>
        <w:br/>
      </w:r>
      <w:r w:rsidR="00DC1D37" w:rsidRPr="000350BB">
        <w:rPr>
          <w:rFonts w:ascii="Cambria" w:hAnsi="Cambria" w:cs="Helvetica"/>
          <w:color w:val="666666"/>
          <w:sz w:val="24"/>
          <w:szCs w:val="24"/>
          <w:shd w:val="clear" w:color="auto" w:fill="FFFFFF"/>
        </w:rPr>
        <w:t>Czy ma to być kserokopiarka monochromatyczna?</w:t>
      </w:r>
    </w:p>
    <w:p w14:paraId="5A8CA139" w14:textId="77777777" w:rsidR="000350BB" w:rsidRPr="000350BB" w:rsidRDefault="000350BB" w:rsidP="000350BB">
      <w:pPr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Style w:val="size"/>
          <w:rFonts w:ascii="Cambria" w:hAnsi="Cambria" w:cs="Times New Roman"/>
          <w:color w:val="000000"/>
          <w:sz w:val="24"/>
          <w:szCs w:val="24"/>
          <w:shd w:val="clear" w:color="auto" w:fill="FFFFFF"/>
        </w:rPr>
        <w:t>Odpowiedź:</w:t>
      </w:r>
    </w:p>
    <w:p w14:paraId="09EAEF07" w14:textId="044191D7" w:rsidR="000350BB" w:rsidRPr="000350BB" w:rsidRDefault="000350BB" w:rsidP="000350BB">
      <w:pP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0350BB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Tak, ma to być kserokopiarka monochromatyczna</w:t>
      </w:r>
      <w:r w:rsidRPr="000350BB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.</w:t>
      </w:r>
      <w:r w:rsidRPr="000350BB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 </w:t>
      </w:r>
    </w:p>
    <w:p w14:paraId="60BABDA6" w14:textId="77777777" w:rsidR="000350BB" w:rsidRPr="000350BB" w:rsidRDefault="000350BB" w:rsidP="000350BB">
      <w:pPr>
        <w:rPr>
          <w:rFonts w:ascii="Cambria" w:hAnsi="Cambria"/>
          <w:sz w:val="24"/>
          <w:szCs w:val="24"/>
        </w:rPr>
      </w:pPr>
    </w:p>
    <w:sectPr w:rsidR="000350BB" w:rsidRPr="0003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2A"/>
    <w:rsid w:val="000350BB"/>
    <w:rsid w:val="004E5667"/>
    <w:rsid w:val="0063704F"/>
    <w:rsid w:val="00A6199A"/>
    <w:rsid w:val="00B2112A"/>
    <w:rsid w:val="00D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5670"/>
  <w15:chartTrackingRefBased/>
  <w15:docId w15:val="{7ACB160E-A48B-46E6-B77D-ED3F3E3B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our">
    <w:name w:val="colour"/>
    <w:basedOn w:val="Domylnaczcionkaakapitu"/>
    <w:rsid w:val="000350BB"/>
  </w:style>
  <w:style w:type="character" w:customStyle="1" w:styleId="size">
    <w:name w:val="size"/>
    <w:basedOn w:val="Domylnaczcionkaakapitu"/>
    <w:rsid w:val="0003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hyperlink" Target="https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Krzysztof Gągoł</cp:lastModifiedBy>
  <cp:revision>7</cp:revision>
  <dcterms:created xsi:type="dcterms:W3CDTF">2021-04-27T06:43:00Z</dcterms:created>
  <dcterms:modified xsi:type="dcterms:W3CDTF">2021-04-28T07:31:00Z</dcterms:modified>
</cp:coreProperties>
</file>