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1A7C5DD1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 xml:space="preserve">…… </w:t>
      </w:r>
      <w:r w:rsidR="00AE2275">
        <w:rPr>
          <w:rFonts w:eastAsia="Times New Roman" w:cs="Times New Roman"/>
          <w:bCs/>
        </w:rPr>
        <w:t>2024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EF1171">
        <w:rPr>
          <w:rFonts w:eastAsia="Times New Roman" w:cs="Times New Roman"/>
        </w:rPr>
        <w:t>Miedniewicach</w:t>
      </w:r>
      <w:r w:rsidR="00AF0ED2" w:rsidRPr="00923659">
        <w:rPr>
          <w:rFonts w:eastAsia="Times New Roman" w:cs="Times New Roman"/>
        </w:rPr>
        <w:t xml:space="preserve">, </w:t>
      </w:r>
      <w:r w:rsidRPr="00923659">
        <w:rPr>
          <w:rFonts w:eastAsia="Times New Roman" w:cs="Times New Roman"/>
        </w:rPr>
        <w:t>pomiędzy:</w:t>
      </w:r>
    </w:p>
    <w:p w14:paraId="5D9FF4E9" w14:textId="2686B6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EF1171" w:rsidRPr="00EF1171">
        <w:rPr>
          <w:rFonts w:eastAsia="Times New Roman" w:cs="Times New Roman"/>
        </w:rPr>
        <w:t>Prowincja Zakonu Braci Mniejszych Konwentualnych (OO. Franciszkanie)</w:t>
      </w:r>
      <w:r w:rsidR="00AF0ED2" w:rsidRPr="00923659">
        <w:rPr>
          <w:rFonts w:eastAsia="Times New Roman" w:cs="Times New Roman"/>
        </w:rPr>
        <w:t xml:space="preserve">, z siedzibą w </w:t>
      </w:r>
      <w:r w:rsidR="00AE2275">
        <w:rPr>
          <w:rFonts w:eastAsia="Times New Roman" w:cs="Times New Roman"/>
        </w:rPr>
        <w:t>Warszawie</w:t>
      </w:r>
      <w:r w:rsidR="00AF0ED2" w:rsidRPr="00923659">
        <w:rPr>
          <w:rFonts w:eastAsia="Times New Roman" w:cs="Times New Roman"/>
        </w:rPr>
        <w:t xml:space="preserve">, przy ul. </w:t>
      </w:r>
      <w:r w:rsidR="00EF1171" w:rsidRPr="00EF1171">
        <w:rPr>
          <w:rFonts w:eastAsia="Times New Roman" w:cs="Times New Roman"/>
        </w:rPr>
        <w:t>Zakroczymsk</w:t>
      </w:r>
      <w:r w:rsidR="00EF1171">
        <w:rPr>
          <w:rFonts w:eastAsia="Times New Roman" w:cs="Times New Roman"/>
        </w:rPr>
        <w:t>iej</w:t>
      </w:r>
      <w:r w:rsidR="00EF1171" w:rsidRPr="00EF1171">
        <w:rPr>
          <w:rFonts w:eastAsia="Times New Roman" w:cs="Times New Roman"/>
        </w:rPr>
        <w:t xml:space="preserve"> 1, 00-225 Warszawa</w:t>
      </w:r>
      <w:r w:rsidR="00AF0ED2" w:rsidRPr="00923659">
        <w:rPr>
          <w:rFonts w:eastAsia="Times New Roman" w:cs="Times New Roman"/>
        </w:rPr>
        <w:t>, reprezentowan</w:t>
      </w:r>
      <w:r w:rsidR="00AE2275">
        <w:rPr>
          <w:rFonts w:eastAsia="Times New Roman" w:cs="Times New Roman"/>
        </w:rPr>
        <w:t>ą</w:t>
      </w:r>
      <w:r w:rsidR="00AF0ED2" w:rsidRPr="00923659">
        <w:rPr>
          <w:rFonts w:eastAsia="Times New Roman" w:cs="Times New Roman"/>
        </w:rPr>
        <w:t xml:space="preserve"> przez </w:t>
      </w:r>
      <w:r w:rsidR="00EF1171">
        <w:rPr>
          <w:rFonts w:eastAsia="Times New Roman" w:cs="Times New Roman"/>
        </w:rPr>
        <w:t>Gwardiana oraz Proboszcza</w:t>
      </w:r>
      <w:r w:rsidR="00AE2275">
        <w:rPr>
          <w:rFonts w:eastAsia="Times New Roman" w:cs="Times New Roman"/>
        </w:rPr>
        <w:t xml:space="preserve"> </w:t>
      </w:r>
      <w:r w:rsidR="00AF0ED2" w:rsidRPr="00923659">
        <w:rPr>
          <w:rFonts w:eastAsia="Times New Roman" w:cs="Times New Roman"/>
        </w:rPr>
        <w:t xml:space="preserve">– </w:t>
      </w:r>
      <w:r w:rsidR="00EF1171">
        <w:rPr>
          <w:rFonts w:eastAsia="Times New Roman" w:cs="Times New Roman"/>
        </w:rPr>
        <w:t>O. dra Remigiusza Trockiego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3C42C96B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EF1171">
        <w:rPr>
          <w:rFonts w:eastAsia="Times New Roman" w:cs="Times New Roman"/>
        </w:rPr>
        <w:t>1</w:t>
      </w:r>
      <w:r w:rsidR="003E5E1C">
        <w:rPr>
          <w:rFonts w:eastAsia="Times New Roman" w:cs="Times New Roman"/>
        </w:rPr>
        <w:t>5</w:t>
      </w:r>
      <w:r w:rsidR="00AE2275">
        <w:rPr>
          <w:rFonts w:eastAsia="Times New Roman" w:cs="Times New Roman"/>
        </w:rPr>
        <w:t>.2024</w:t>
      </w:r>
      <w:r w:rsidR="00923659">
        <w:rPr>
          <w:rFonts w:eastAsia="Times New Roman" w:cs="Times New Roman"/>
        </w:rPr>
        <w:t xml:space="preserve"> – </w:t>
      </w:r>
      <w:r w:rsidR="00EF1171" w:rsidRPr="00EF1171">
        <w:rPr>
          <w:rFonts w:eastAsia="Times New Roman" w:cs="Times New Roman"/>
          <w:i/>
          <w:iCs/>
        </w:rPr>
        <w:t>Ratunkowe prace konserwatorskie i rewaloryzacja barokowej architektury klasztornej w Miedniewicach, etap i - elewacje zewnętrzne klasztoru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5B9B1118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 xml:space="preserve">ze środków </w:t>
      </w:r>
      <w:r w:rsidR="00AE2275">
        <w:t>własnych Zamawiającego przy wsparciu Rządowego Programu Odbudowy Zabytków POLSKI ŁAD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6B4A4C23" w14:textId="75F12DE8" w:rsidR="00EF1171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</w:r>
      <w:r w:rsidR="00EF1171">
        <w:rPr>
          <w:rFonts w:eastAsia="Times New Roman" w:cs="Times New Roman"/>
        </w:rPr>
        <w:t>Szczegółowe obowiązki Wykonawcy:</w:t>
      </w:r>
    </w:p>
    <w:p w14:paraId="7E8E1AA1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EF1171">
        <w:rPr>
          <w:rFonts w:eastAsia="Times New Roman" w:cs="Times New Roman"/>
        </w:rPr>
        <w:t xml:space="preserve">Wykonawca zrealizuje zamówienie w sposób kompletny, to znaczy zgodnie z załączoną </w:t>
      </w:r>
      <w:r w:rsidRPr="00EF1171">
        <w:rPr>
          <w:rFonts w:eastAsia="Times New Roman" w:cs="Times New Roman"/>
        </w:rPr>
        <w:lastRenderedPageBreak/>
        <w:t xml:space="preserve">dokumentacją opisową i rysunkową, przedmiarem robót oraz niniejszą dokumentacją zamówienia. Wykonawca przekaże Zamawiającemu kompletną dokumentację pozwalającą realizować dalsze formalne etapy projektu. </w:t>
      </w:r>
    </w:p>
    <w:p w14:paraId="2CA086D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wymaga, aby Wykonawca, któremu zostanie udzielone zamówienie publiczne:</w:t>
      </w:r>
    </w:p>
    <w:p w14:paraId="2562367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Zabezpieczył teren robót zgodnie z zasadami BHP, ruchu drogowego (po uzgodnieniu z inwestorem);</w:t>
      </w:r>
    </w:p>
    <w:p w14:paraId="43D0EBFE" w14:textId="10121B9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 xml:space="preserve">Zapewnił nieprzerwane funkcjonowanie innych prac realizowanych w obrębie </w:t>
      </w:r>
      <w:r>
        <w:rPr>
          <w:rFonts w:eastAsia="Times New Roman" w:cs="Times New Roman"/>
        </w:rPr>
        <w:t>Klasztoru w Miedneiwicach</w:t>
      </w:r>
      <w:r w:rsidRPr="00EF1171">
        <w:rPr>
          <w:rFonts w:eastAsia="Times New Roman" w:cs="Times New Roman"/>
        </w:rPr>
        <w:t>;</w:t>
      </w:r>
    </w:p>
    <w:p w14:paraId="40FA4AE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Przygotował teren budowy, zaplecze oraz bezpośredni obszar sąsiadujący dla robót budowlanych;</w:t>
      </w:r>
    </w:p>
    <w:p w14:paraId="5D18AC1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Wykonał roboty budowlane zgodnie z przekazaną dokumentacją w zakresie, w jakim obejmują to załączone do postępowania przedmiary;</w:t>
      </w:r>
    </w:p>
    <w:p w14:paraId="168F4B06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Podejmował czynną współpracę z Zamawiającym oraz powołanym przez niego (fakultatywnie, w zależności od potrzeby Zamawiającego) inspektorem nadzoru inwestorskiego przy realizacji robót;</w:t>
      </w:r>
    </w:p>
    <w:p w14:paraId="123DD60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Zrealizował zadanie w wyznaczonym terminie i przekazał Zamawiającemu dokumentację powykonawczą.</w:t>
      </w:r>
    </w:p>
    <w:p w14:paraId="6948DB3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informuje, że wyrazi zgodę na uzgodnienie szczegółowych zakresów prac po udzieleniu zamówieniu w oparciu o przedmiar robót, przy aprobacie projektanta pełniącego nadzór autorski nad projektem.</w:t>
      </w:r>
    </w:p>
    <w:p w14:paraId="2B0F369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Materiały budowlane oraz elementy prefabrykowane powinny odpowiadać atestom technicznym aprobatom oraz ustaleniom odnośnych norm, elementy wyposażenia sportowego wymagają dopuszczenie do stosowania na zewnątrz. 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01AEBFC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Po zakończeniu prac budowlanych teren budowy należy doprowadzić do należytego stanu i porządku. W przypadku zaistnienia wątpliwości, co do sposobu prowadzenia robót, Wykonawca powinien skontaktować się z Projektantem lub Inspektorem nadzoru inwestorskiego.</w:t>
      </w:r>
    </w:p>
    <w:p w14:paraId="4F660183" w14:textId="280055F1" w:rsid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Wszelki materiał lub urobek powstały wskutek prowadzenia przez Wykonawcę robót prac stanowi własność Zamawiającego (Inwestora) i może zostać potraktowany jako odpad wyłącznie za jego zgodą. Wykonawca w ramach należnego mu wynagrodzenia zobowiązany będzie do wywozu oraz odpowiedniej utylizacji (zagospodarowania) odpadu na własny koszt i ryzyko.</w:t>
      </w:r>
    </w:p>
    <w:p w14:paraId="40054088" w14:textId="058115BC" w:rsidR="00EA2FD5" w:rsidRPr="00923659" w:rsidRDefault="00EF1171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</w:r>
      <w:r w:rsidR="00EA2FD5" w:rsidRPr="00923659">
        <w:rPr>
          <w:rFonts w:eastAsia="Times New Roman" w:cs="Times New Roman"/>
        </w:rPr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5379834A" w:rsidR="009C050D" w:rsidRPr="00923659" w:rsidRDefault="00EF1171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9C050D" w:rsidRPr="00923659">
        <w:rPr>
          <w:rFonts w:eastAsia="Times New Roman" w:cs="Times New Roman"/>
        </w:rPr>
        <w:t>.</w:t>
      </w:r>
      <w:r w:rsidR="009C050D"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  <w:r w:rsidR="00AE2275">
        <w:rPr>
          <w:rFonts w:eastAsia="Times New Roman" w:cs="Times New Roman"/>
        </w:rPr>
        <w:t xml:space="preserve"> Karta gwarancyjna stanowi oświadczenie Wykonawcy o podjęciu się obowiązków gwarancyjnych zgodnie z niniejszą umową oraz zasadami opisanymi w polskim prawie cywilnym.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6D05C1B0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EF1171">
        <w:rPr>
          <w:rFonts w:eastAsia="Times New Roman" w:cs="Times New Roman"/>
        </w:rPr>
        <w:t>18 października</w:t>
      </w:r>
      <w:r w:rsidR="008E5A66">
        <w:rPr>
          <w:rFonts w:eastAsia="Times New Roman" w:cs="Times New Roman"/>
        </w:rPr>
        <w:t xml:space="preserve">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4BF65305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AE2275">
        <w:rPr>
          <w:rFonts w:eastAsia="Times New Roman" w:cs="Times New Roman"/>
        </w:rPr>
        <w:t>…………………</w:t>
      </w:r>
      <w:r w:rsidRPr="00923659">
        <w:rPr>
          <w:rFonts w:eastAsia="Times New Roman" w:cs="Times New Roman"/>
        </w:rPr>
        <w:t xml:space="preserve">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64E3BE7D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</w:t>
      </w:r>
      <w:r w:rsidR="00AE2275">
        <w:rPr>
          <w:rFonts w:eastAsia="Times New Roman" w:cs="Times New Roman"/>
        </w:rPr>
        <w:t xml:space="preserve"> (o ile Zamawiający podejmie decyzję o jego powołaniu)</w:t>
      </w:r>
      <w:r w:rsidR="0012798C" w:rsidRPr="0012798C">
        <w:rPr>
          <w:rFonts w:eastAsia="Times New Roman" w:cs="Times New Roman"/>
        </w:rPr>
        <w:t xml:space="preserve">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22FB7E34" w14:textId="6F56F368" w:rsidR="00082627" w:rsidRPr="00AE2275" w:rsidRDefault="00082627" w:rsidP="00AE2275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</w:t>
      </w:r>
      <w:r w:rsidR="00AE2275">
        <w:rPr>
          <w:rFonts w:eastAsia="Times New Roman" w:cs="Times New Roman"/>
        </w:rPr>
        <w:t>w</w:t>
      </w:r>
      <w:r w:rsidRPr="0012798C">
        <w:rPr>
          <w:rFonts w:eastAsia="Times New Roman" w:cs="Times New Roman"/>
        </w:rPr>
        <w:t>o wystawionej faktur</w:t>
      </w:r>
      <w:r w:rsidR="00AE2275">
        <w:rPr>
          <w:rFonts w:eastAsia="Times New Roman" w:cs="Times New Roman"/>
        </w:rPr>
        <w:t>y.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 xml:space="preserve">jest rachunkiem znajdującym się w elektronicznym wykazie podmiotów prowadzonym od 1 września 2019 r. przez Szefa Krajowej Administracji Skarbowej, o którym mowa w </w:t>
      </w:r>
      <w:r w:rsidRPr="00923659">
        <w:rPr>
          <w:rFonts w:cs="Times New Roman"/>
        </w:rPr>
        <w:lastRenderedPageBreak/>
        <w:t>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Dokumentowanie zatrudnienia przez Wykonawcę lub podwykonawcę wymagań dotyczących </w:t>
      </w:r>
      <w:r w:rsidRPr="00923659">
        <w:rPr>
          <w:rFonts w:cs="Times New Roman"/>
        </w:rPr>
        <w:lastRenderedPageBreak/>
        <w:t>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Przed zawarciem umowy z dalszym podwykonawcą umowa taka powinna posiadać pisemną akceptację Zamawiającego oraz Wykonawcy w formie pieczęci z adnotacją o akceptacji. Poświadczona za zgodność z oryginałem kopia umowy lub zmiany umowy powinna zostać </w:t>
      </w:r>
      <w:r w:rsidRPr="00923659">
        <w:rPr>
          <w:rFonts w:eastAsia="Times New Roman" w:cs="Times New Roman"/>
        </w:rPr>
        <w:lastRenderedPageBreak/>
        <w:t>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F797C21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</w:t>
      </w:r>
      <w:r w:rsidRPr="00923659">
        <w:rPr>
          <w:rFonts w:cs="Times New Roman"/>
        </w:rPr>
        <w:lastRenderedPageBreak/>
        <w:t xml:space="preserve">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E1544E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DB4A" w14:textId="77777777" w:rsidR="00A42A1B" w:rsidRDefault="00A42A1B">
      <w:r>
        <w:separator/>
      </w:r>
    </w:p>
  </w:endnote>
  <w:endnote w:type="continuationSeparator" w:id="0">
    <w:p w14:paraId="5609507C" w14:textId="77777777" w:rsidR="00A42A1B" w:rsidRDefault="00A4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8C93" w14:textId="77777777" w:rsidR="00A42A1B" w:rsidRDefault="00A42A1B">
      <w:r>
        <w:separator/>
      </w:r>
    </w:p>
  </w:footnote>
  <w:footnote w:type="continuationSeparator" w:id="0">
    <w:p w14:paraId="273BD9D5" w14:textId="77777777" w:rsidR="00A42A1B" w:rsidRDefault="00A4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F1171" w14:paraId="758B83F9" w14:textId="77777777" w:rsidTr="00EF1171">
      <w:trPr>
        <w:trHeight w:val="1985"/>
      </w:trPr>
      <w:tc>
        <w:tcPr>
          <w:tcW w:w="5000" w:type="pct"/>
          <w:vAlign w:val="center"/>
        </w:tcPr>
        <w:p w14:paraId="1E6721E1" w14:textId="386549AD" w:rsidR="00EF1171" w:rsidRDefault="00EF1171" w:rsidP="00EF11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3B780" wp14:editId="6E8C631A">
                <wp:extent cx="1226516" cy="430514"/>
                <wp:effectExtent l="0" t="0" r="0" b="8255"/>
                <wp:docPr id="1731036295" name="Obraz 1" descr="Rządowy Fundusz Polski Ład: Program Inwestycji Strategicznych - Rządowy  Program Odbudowy Zabytków | Barw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ądowy Fundusz Polski Ład: Program Inwestycji Strategicznych - Rządowy  Program Odbudowy Zabytków | Bar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32" cy="4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1339"/>
    <w:rsid w:val="000D2038"/>
    <w:rsid w:val="000F27D8"/>
    <w:rsid w:val="0012798C"/>
    <w:rsid w:val="001739D7"/>
    <w:rsid w:val="001956CB"/>
    <w:rsid w:val="001B3DEC"/>
    <w:rsid w:val="001B3FEB"/>
    <w:rsid w:val="002309C6"/>
    <w:rsid w:val="002A412F"/>
    <w:rsid w:val="002B56CD"/>
    <w:rsid w:val="002D45DA"/>
    <w:rsid w:val="00305027"/>
    <w:rsid w:val="00323616"/>
    <w:rsid w:val="003561A6"/>
    <w:rsid w:val="00362D1F"/>
    <w:rsid w:val="003961CC"/>
    <w:rsid w:val="003E5E1C"/>
    <w:rsid w:val="003F5BE7"/>
    <w:rsid w:val="00410775"/>
    <w:rsid w:val="00495CED"/>
    <w:rsid w:val="004F2844"/>
    <w:rsid w:val="00500F92"/>
    <w:rsid w:val="00521AAD"/>
    <w:rsid w:val="00547C76"/>
    <w:rsid w:val="005B2312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377C7"/>
    <w:rsid w:val="00954AC7"/>
    <w:rsid w:val="00956841"/>
    <w:rsid w:val="00962FA3"/>
    <w:rsid w:val="00965E23"/>
    <w:rsid w:val="009C050D"/>
    <w:rsid w:val="009D0F86"/>
    <w:rsid w:val="00A170BE"/>
    <w:rsid w:val="00A42A1B"/>
    <w:rsid w:val="00A836CA"/>
    <w:rsid w:val="00AC7C5B"/>
    <w:rsid w:val="00AE2275"/>
    <w:rsid w:val="00AF0ED2"/>
    <w:rsid w:val="00B148D6"/>
    <w:rsid w:val="00B20FE3"/>
    <w:rsid w:val="00B32EBB"/>
    <w:rsid w:val="00B33807"/>
    <w:rsid w:val="00B75F39"/>
    <w:rsid w:val="00BD15C8"/>
    <w:rsid w:val="00C61032"/>
    <w:rsid w:val="00C7771D"/>
    <w:rsid w:val="00CD08F2"/>
    <w:rsid w:val="00D008AE"/>
    <w:rsid w:val="00D4698E"/>
    <w:rsid w:val="00D56714"/>
    <w:rsid w:val="00DC4951"/>
    <w:rsid w:val="00DD3F0C"/>
    <w:rsid w:val="00DF74F2"/>
    <w:rsid w:val="00E1544E"/>
    <w:rsid w:val="00E54CD5"/>
    <w:rsid w:val="00EA2FD5"/>
    <w:rsid w:val="00ED2E57"/>
    <w:rsid w:val="00EF1171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2895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20</cp:revision>
  <cp:lastPrinted>2021-02-03T14:03:00Z</cp:lastPrinted>
  <dcterms:created xsi:type="dcterms:W3CDTF">2022-03-04T08:51:00Z</dcterms:created>
  <dcterms:modified xsi:type="dcterms:W3CDTF">2024-07-29T09:04:00Z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