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8"/>
        <w:gridCol w:w="4055"/>
      </w:tblGrid>
      <w:tr w:rsidR="00DC5214" w:rsidRPr="00800578" w14:paraId="1EB8EB53" w14:textId="77777777" w:rsidTr="007D510B">
        <w:tc>
          <w:tcPr>
            <w:tcW w:w="4151" w:type="dxa"/>
          </w:tcPr>
          <w:p w14:paraId="15F7D7D0" w14:textId="222FF83A" w:rsidR="00DC5214" w:rsidRPr="00800578" w:rsidRDefault="00D2501A" w:rsidP="006371E6">
            <w:pPr>
              <w:tabs>
                <w:tab w:val="left" w:pos="763"/>
              </w:tabs>
              <w:spacing w:after="120" w:line="276" w:lineRule="auto"/>
              <w:jc w:val="center"/>
              <w:rPr>
                <w:b/>
                <w:color w:val="auto"/>
                <w:szCs w:val="20"/>
                <w:lang w:val="pl-PL"/>
              </w:rPr>
            </w:pPr>
            <w:r w:rsidRPr="00800578">
              <w:rPr>
                <w:rFonts w:ascii="Verdana" w:eastAsia="Verdana" w:hAnsi="Verdana" w:cs="Calibri Light"/>
                <w:b/>
                <w:color w:val="auto"/>
                <w:szCs w:val="20"/>
                <w:lang w:val="pl-PL"/>
              </w:rPr>
              <w:t xml:space="preserve">UMOWA </w:t>
            </w:r>
            <w:r w:rsidRPr="00800578">
              <w:rPr>
                <w:rFonts w:ascii="Verdana" w:eastAsia="Verdana" w:hAnsi="Verdana" w:cs="Times New Roman"/>
                <w:b/>
                <w:color w:val="auto"/>
                <w:szCs w:val="20"/>
                <w:lang w:val="pl-PL"/>
              </w:rPr>
              <w:t xml:space="preserve">O ZACHOWANIU POUFNOŚCI NR </w:t>
            </w:r>
            <w:r w:rsidRPr="00800578">
              <w:rPr>
                <w:rFonts w:ascii="Verdana" w:eastAsia="Verdana" w:hAnsi="Verdana" w:cs="Times New Roman"/>
                <w:color w:val="auto"/>
                <w:szCs w:val="20"/>
                <w:lang w:val="pl-PL"/>
              </w:rPr>
              <w:t>[___]</w:t>
            </w:r>
          </w:p>
        </w:tc>
        <w:tc>
          <w:tcPr>
            <w:tcW w:w="4152" w:type="dxa"/>
          </w:tcPr>
          <w:p w14:paraId="601EF564" w14:textId="77777777" w:rsidR="00DC5214" w:rsidRPr="00800578" w:rsidRDefault="000522C5" w:rsidP="006371E6">
            <w:pPr>
              <w:spacing w:after="120" w:line="276" w:lineRule="auto"/>
              <w:jc w:val="center"/>
              <w:rPr>
                <w:b/>
                <w:color w:val="auto"/>
                <w:szCs w:val="20"/>
              </w:rPr>
            </w:pPr>
            <w:r w:rsidRPr="00800578">
              <w:rPr>
                <w:rFonts w:ascii="Verdana" w:eastAsia="Verdana" w:hAnsi="Verdana" w:cs="Times New Roman"/>
                <w:b/>
                <w:szCs w:val="20"/>
              </w:rPr>
              <w:t>NON-DISCLOSURE AGREEMENT</w:t>
            </w:r>
            <w:r w:rsidR="00835B07" w:rsidRPr="00800578">
              <w:rPr>
                <w:rFonts w:ascii="Verdana" w:eastAsia="Verdana" w:hAnsi="Verdana" w:cs="Times New Roman"/>
                <w:b/>
                <w:szCs w:val="20"/>
              </w:rPr>
              <w:t xml:space="preserve"> NO. </w:t>
            </w:r>
            <w:r w:rsidR="00835B07" w:rsidRPr="00800578">
              <w:rPr>
                <w:rFonts w:ascii="Verdana" w:eastAsia="Verdana" w:hAnsi="Verdana" w:cs="Times New Roman"/>
                <w:color w:val="auto"/>
                <w:szCs w:val="20"/>
                <w:lang w:val="pl-PL"/>
              </w:rPr>
              <w:t>[___]</w:t>
            </w:r>
          </w:p>
        </w:tc>
      </w:tr>
      <w:tr w:rsidR="006371E6" w:rsidRPr="00800578" w14:paraId="45E46FF0" w14:textId="77777777" w:rsidTr="007D510B">
        <w:tc>
          <w:tcPr>
            <w:tcW w:w="4151" w:type="dxa"/>
          </w:tcPr>
          <w:p w14:paraId="6265C424" w14:textId="77777777" w:rsidR="006371E6" w:rsidRPr="00800578" w:rsidRDefault="006371E6" w:rsidP="006371E6">
            <w:pPr>
              <w:spacing w:after="120" w:line="276" w:lineRule="auto"/>
              <w:rPr>
                <w:rFonts w:ascii="Verdana" w:eastAsia="Verdana" w:hAnsi="Verdana" w:cs="Calibri Light"/>
                <w:color w:val="auto"/>
                <w:szCs w:val="20"/>
                <w:lang w:val="pl-PL"/>
              </w:rPr>
            </w:pPr>
          </w:p>
        </w:tc>
        <w:tc>
          <w:tcPr>
            <w:tcW w:w="4152" w:type="dxa"/>
          </w:tcPr>
          <w:p w14:paraId="752274B6" w14:textId="77777777" w:rsidR="006371E6" w:rsidRPr="00800578" w:rsidRDefault="006371E6" w:rsidP="006371E6">
            <w:pPr>
              <w:spacing w:after="120" w:line="276" w:lineRule="auto"/>
              <w:rPr>
                <w:rFonts w:ascii="Verdana" w:eastAsia="Verdana" w:hAnsi="Verdana" w:cs="Times New Roman"/>
                <w:color w:val="auto"/>
                <w:szCs w:val="20"/>
              </w:rPr>
            </w:pPr>
          </w:p>
        </w:tc>
      </w:tr>
      <w:tr w:rsidR="00DC5214" w:rsidRPr="00800578" w14:paraId="2B844DFC" w14:textId="77777777" w:rsidTr="007D510B">
        <w:tc>
          <w:tcPr>
            <w:tcW w:w="4151" w:type="dxa"/>
          </w:tcPr>
          <w:p w14:paraId="37289B81" w14:textId="77777777" w:rsidR="00DC5214" w:rsidRPr="00800578" w:rsidRDefault="00D2501A" w:rsidP="006371E6">
            <w:pPr>
              <w:spacing w:after="120" w:line="276" w:lineRule="auto"/>
              <w:rPr>
                <w:b/>
                <w:color w:val="auto"/>
                <w:szCs w:val="20"/>
                <w:lang w:val="pl-PL"/>
              </w:rPr>
            </w:pPr>
            <w:r w:rsidRPr="00800578">
              <w:rPr>
                <w:rFonts w:ascii="Verdana" w:eastAsia="Verdana" w:hAnsi="Verdana" w:cs="Calibri Light"/>
                <w:color w:val="auto"/>
                <w:szCs w:val="20"/>
                <w:lang w:val="pl-PL"/>
              </w:rPr>
              <w:t xml:space="preserve">zawarta w dniu </w:t>
            </w:r>
            <w:r w:rsidRPr="00800578">
              <w:rPr>
                <w:rFonts w:ascii="Verdana" w:eastAsia="Verdana" w:hAnsi="Verdana" w:cs="Times New Roman"/>
                <w:color w:val="auto"/>
                <w:szCs w:val="20"/>
                <w:lang w:val="pl-PL"/>
              </w:rPr>
              <w:t>[___]</w:t>
            </w:r>
            <w:r w:rsidRPr="00800578">
              <w:rPr>
                <w:rFonts w:ascii="Verdana" w:eastAsia="Verdana" w:hAnsi="Verdana" w:cs="Calibri Light"/>
                <w:color w:val="auto"/>
                <w:szCs w:val="20"/>
                <w:lang w:val="pl-PL"/>
              </w:rPr>
              <w:t xml:space="preserve"> we Wrocławiu, zwana dalej „</w:t>
            </w:r>
            <w:r w:rsidRPr="00800578">
              <w:rPr>
                <w:rFonts w:ascii="Verdana" w:eastAsia="Verdana" w:hAnsi="Verdana" w:cs="Calibri Light"/>
                <w:b/>
                <w:bCs/>
                <w:color w:val="auto"/>
                <w:szCs w:val="20"/>
                <w:lang w:val="pl-PL"/>
              </w:rPr>
              <w:t>Umową</w:t>
            </w:r>
            <w:r w:rsidRPr="00800578">
              <w:rPr>
                <w:rFonts w:ascii="Verdana" w:eastAsia="Verdana" w:hAnsi="Verdana" w:cs="Calibri Light"/>
                <w:color w:val="auto"/>
                <w:szCs w:val="20"/>
                <w:lang w:val="pl-PL"/>
              </w:rPr>
              <w:t>” pomiędzy:</w:t>
            </w:r>
          </w:p>
        </w:tc>
        <w:tc>
          <w:tcPr>
            <w:tcW w:w="4152" w:type="dxa"/>
          </w:tcPr>
          <w:p w14:paraId="2BE2813A" w14:textId="77777777" w:rsidR="00DC5214" w:rsidRPr="00800578" w:rsidRDefault="005D41C0" w:rsidP="006371E6">
            <w:pPr>
              <w:spacing w:after="120" w:line="276" w:lineRule="auto"/>
              <w:rPr>
                <w:b/>
                <w:color w:val="auto"/>
                <w:szCs w:val="20"/>
              </w:rPr>
            </w:pPr>
            <w:r w:rsidRPr="00800578">
              <w:rPr>
                <w:rFonts w:ascii="Verdana" w:eastAsia="Verdana" w:hAnsi="Verdana" w:cs="Times New Roman"/>
                <w:color w:val="auto"/>
                <w:szCs w:val="20"/>
              </w:rPr>
              <w:t xml:space="preserve">made on [___] in </w:t>
            </w:r>
            <w:proofErr w:type="spellStart"/>
            <w:r w:rsidRPr="00800578">
              <w:rPr>
                <w:rFonts w:ascii="Verdana" w:eastAsia="Verdana" w:hAnsi="Verdana" w:cs="Times New Roman"/>
                <w:color w:val="auto"/>
                <w:szCs w:val="20"/>
              </w:rPr>
              <w:t>Wrocław</w:t>
            </w:r>
            <w:proofErr w:type="spellEnd"/>
            <w:r w:rsidRPr="00800578">
              <w:rPr>
                <w:rFonts w:ascii="Verdana" w:eastAsia="Verdana" w:hAnsi="Verdana" w:cs="Times New Roman"/>
                <w:color w:val="auto"/>
                <w:szCs w:val="20"/>
              </w:rPr>
              <w:t>, hereinafter referred to as the “</w:t>
            </w:r>
            <w:r w:rsidRPr="00800578">
              <w:rPr>
                <w:rFonts w:ascii="Verdana" w:eastAsia="Verdana" w:hAnsi="Verdana" w:cs="Times New Roman"/>
                <w:b/>
                <w:bCs/>
                <w:color w:val="auto"/>
                <w:szCs w:val="20"/>
              </w:rPr>
              <w:t>Agreement</w:t>
            </w:r>
            <w:r w:rsidRPr="00800578">
              <w:rPr>
                <w:rFonts w:ascii="Verdana" w:eastAsia="Verdana" w:hAnsi="Verdana" w:cs="Times New Roman"/>
                <w:color w:val="auto"/>
                <w:szCs w:val="20"/>
              </w:rPr>
              <w:t>”, by and between,</w:t>
            </w:r>
          </w:p>
        </w:tc>
      </w:tr>
      <w:tr w:rsidR="006371E6" w:rsidRPr="00800578" w14:paraId="28D9E3A4" w14:textId="77777777" w:rsidTr="007D510B">
        <w:tc>
          <w:tcPr>
            <w:tcW w:w="4151" w:type="dxa"/>
          </w:tcPr>
          <w:p w14:paraId="7431B230" w14:textId="77777777" w:rsidR="006371E6" w:rsidRPr="00800578" w:rsidRDefault="006371E6" w:rsidP="006371E6">
            <w:pPr>
              <w:spacing w:after="120" w:line="276" w:lineRule="auto"/>
              <w:rPr>
                <w:rFonts w:ascii="Verdana" w:eastAsia="Verdana" w:hAnsi="Verdana" w:cs="Calibri Light"/>
                <w:color w:val="auto"/>
                <w:szCs w:val="20"/>
              </w:rPr>
            </w:pPr>
          </w:p>
        </w:tc>
        <w:tc>
          <w:tcPr>
            <w:tcW w:w="4152" w:type="dxa"/>
          </w:tcPr>
          <w:p w14:paraId="318DD2B9" w14:textId="77777777" w:rsidR="006371E6" w:rsidRPr="00800578" w:rsidRDefault="006371E6" w:rsidP="006371E6">
            <w:pPr>
              <w:spacing w:after="120" w:line="276" w:lineRule="auto"/>
              <w:rPr>
                <w:rFonts w:ascii="Verdana" w:eastAsia="Verdana" w:hAnsi="Verdana" w:cs="Times New Roman"/>
                <w:color w:val="auto"/>
                <w:szCs w:val="20"/>
              </w:rPr>
            </w:pPr>
          </w:p>
        </w:tc>
      </w:tr>
      <w:tr w:rsidR="00DC5214" w:rsidRPr="00800578" w14:paraId="4178CD40" w14:textId="77777777" w:rsidTr="007D510B">
        <w:tc>
          <w:tcPr>
            <w:tcW w:w="4151" w:type="dxa"/>
          </w:tcPr>
          <w:p w14:paraId="0DB09411" w14:textId="77777777" w:rsidR="00D2501A" w:rsidRPr="00800578" w:rsidRDefault="00D2501A" w:rsidP="006371E6">
            <w:pPr>
              <w:spacing w:after="120" w:line="276" w:lineRule="auto"/>
              <w:rPr>
                <w:rFonts w:ascii="Verdana" w:hAnsi="Verdana"/>
                <w:color w:val="auto"/>
                <w:lang w:val="pl-PL"/>
              </w:rPr>
            </w:pPr>
            <w:r w:rsidRPr="00800578">
              <w:rPr>
                <w:rFonts w:ascii="Verdana" w:hAnsi="Verdana"/>
                <w:b/>
                <w:color w:val="auto"/>
                <w:szCs w:val="20"/>
                <w:lang w:val="pl-PL"/>
              </w:rPr>
              <w:t>Siecią Badawczą Łukasiewicz – PORT Polskim Ośrodkiem Rozwoju Technologii</w:t>
            </w:r>
            <w:r w:rsidRPr="00800578">
              <w:rPr>
                <w:rFonts w:ascii="Verdana" w:hAnsi="Verdana"/>
                <w:color w:val="auto"/>
                <w:lang w:val="pl-PL"/>
              </w:rPr>
              <w:t xml:space="preserve"> </w:t>
            </w:r>
            <w:r w:rsidRPr="00800578">
              <w:rPr>
                <w:rFonts w:ascii="Verdana" w:hAnsi="Verdana"/>
                <w:color w:val="auto"/>
                <w:szCs w:val="20"/>
                <w:lang w:val="pl-PL"/>
              </w:rPr>
              <w:t xml:space="preserve">z siedzibą we Wrocławiu (54-066), ul. </w:t>
            </w:r>
            <w:proofErr w:type="spellStart"/>
            <w:r w:rsidRPr="00800578">
              <w:rPr>
                <w:rFonts w:ascii="Verdana" w:hAnsi="Verdana"/>
                <w:color w:val="auto"/>
                <w:szCs w:val="20"/>
                <w:lang w:val="pl-PL"/>
              </w:rPr>
              <w:t>Stabłowicka</w:t>
            </w:r>
            <w:proofErr w:type="spellEnd"/>
            <w:r w:rsidRPr="00800578">
              <w:rPr>
                <w:rFonts w:ascii="Verdana" w:hAnsi="Verdana"/>
                <w:color w:val="auto"/>
                <w:szCs w:val="20"/>
                <w:lang w:val="pl-PL"/>
              </w:rPr>
              <w:t xml:space="preserve"> 147, działającym na podstawie ustawy z dnia 21 lutego 2019 r. o Sieci Badawczej Łukasiewicz (Dz. U. z 2019 r. poz. 534 ze zm.), wpisanym do rejestru przedsiębiorców prowadzonego przez Sąd Rejonowy dla Wrocławia-Fabrycznej we Wrocławiu, VI Wydział Gospodarczy Krajowego Rejestru Sądowego pod numerem KRS: </w:t>
            </w:r>
            <w:r w:rsidRPr="00800578">
              <w:rPr>
                <w:rFonts w:ascii="Verdana" w:hAnsi="Verdana" w:cs="Tahoma"/>
                <w:bCs/>
                <w:color w:val="auto"/>
                <w:szCs w:val="20"/>
                <w:lang w:val="pl-PL"/>
              </w:rPr>
              <w:t>0000850580</w:t>
            </w:r>
            <w:r w:rsidRPr="00800578">
              <w:rPr>
                <w:rFonts w:ascii="Verdana" w:hAnsi="Verdana"/>
                <w:color w:val="auto"/>
                <w:szCs w:val="20"/>
                <w:lang w:val="pl-PL"/>
              </w:rPr>
              <w:t xml:space="preserve">, NIP: </w:t>
            </w:r>
            <w:r w:rsidRPr="00800578">
              <w:rPr>
                <w:rFonts w:ascii="Verdana" w:hAnsi="Verdana" w:cs="Tahoma"/>
                <w:color w:val="auto"/>
                <w:szCs w:val="20"/>
                <w:lang w:val="pl-PL"/>
              </w:rPr>
              <w:t>8943140523</w:t>
            </w:r>
            <w:r w:rsidRPr="00800578">
              <w:rPr>
                <w:rFonts w:ascii="Verdana" w:hAnsi="Verdana"/>
                <w:color w:val="auto"/>
                <w:szCs w:val="20"/>
                <w:lang w:val="pl-PL"/>
              </w:rPr>
              <w:t xml:space="preserve">, REGON: </w:t>
            </w:r>
            <w:r w:rsidRPr="00800578">
              <w:rPr>
                <w:rFonts w:ascii="Verdana" w:hAnsi="Verdana" w:cs="Tahoma"/>
                <w:color w:val="auto"/>
                <w:szCs w:val="20"/>
                <w:lang w:val="pl-PL"/>
              </w:rPr>
              <w:t>386585168</w:t>
            </w:r>
            <w:r w:rsidRPr="00800578">
              <w:rPr>
                <w:rFonts w:ascii="Verdana" w:hAnsi="Verdana"/>
                <w:color w:val="auto"/>
                <w:szCs w:val="20"/>
                <w:lang w:val="pl-PL"/>
              </w:rPr>
              <w:t>,</w:t>
            </w:r>
          </w:p>
          <w:p w14:paraId="4A2D09A5" w14:textId="77777777" w:rsidR="00DC5214" w:rsidRPr="00800578" w:rsidRDefault="00DC5214" w:rsidP="006371E6">
            <w:pPr>
              <w:spacing w:after="120" w:line="276" w:lineRule="auto"/>
              <w:jc w:val="center"/>
              <w:rPr>
                <w:b/>
                <w:color w:val="auto"/>
                <w:szCs w:val="20"/>
                <w:lang w:val="pl-PL"/>
              </w:rPr>
            </w:pPr>
          </w:p>
        </w:tc>
        <w:tc>
          <w:tcPr>
            <w:tcW w:w="4152" w:type="dxa"/>
          </w:tcPr>
          <w:p w14:paraId="3CD7E4FF" w14:textId="77777777" w:rsidR="00DC5214" w:rsidRPr="00800578" w:rsidRDefault="00713A74" w:rsidP="006371E6">
            <w:pPr>
              <w:spacing w:after="120" w:line="276" w:lineRule="auto"/>
              <w:rPr>
                <w:b/>
                <w:color w:val="auto"/>
                <w:szCs w:val="20"/>
              </w:rPr>
            </w:pPr>
            <w:r w:rsidRPr="00800578">
              <w:rPr>
                <w:rFonts w:ascii="Verdana" w:eastAsia="Verdana" w:hAnsi="Verdana" w:cs="Times New Roman"/>
                <w:b/>
                <w:bCs/>
                <w:color w:val="auto"/>
                <w:szCs w:val="20"/>
              </w:rPr>
              <w:t xml:space="preserve">Łukasiewicz Research Network – PORT Polish </w:t>
            </w:r>
            <w:proofErr w:type="spellStart"/>
            <w:r w:rsidRPr="00800578">
              <w:rPr>
                <w:rFonts w:ascii="Verdana" w:eastAsia="Verdana" w:hAnsi="Verdana" w:cs="Times New Roman"/>
                <w:b/>
                <w:bCs/>
                <w:color w:val="auto"/>
                <w:szCs w:val="20"/>
              </w:rPr>
              <w:t>Center</w:t>
            </w:r>
            <w:proofErr w:type="spellEnd"/>
            <w:r w:rsidRPr="00800578">
              <w:rPr>
                <w:rFonts w:ascii="Verdana" w:eastAsia="Verdana" w:hAnsi="Verdana" w:cs="Times New Roman"/>
                <w:b/>
                <w:bCs/>
                <w:color w:val="auto"/>
                <w:szCs w:val="20"/>
              </w:rPr>
              <w:t xml:space="preserve"> for Technology Development</w:t>
            </w:r>
            <w:r w:rsidRPr="00800578">
              <w:rPr>
                <w:rFonts w:ascii="Verdana" w:eastAsia="Verdana" w:hAnsi="Verdana" w:cs="Times New Roman"/>
                <w:color w:val="auto"/>
                <w:szCs w:val="20"/>
              </w:rPr>
              <w:t xml:space="preserve">, based in </w:t>
            </w:r>
            <w:proofErr w:type="spellStart"/>
            <w:r w:rsidRPr="00800578">
              <w:rPr>
                <w:rFonts w:ascii="Verdana" w:eastAsia="Verdana" w:hAnsi="Verdana" w:cs="Times New Roman"/>
                <w:color w:val="auto"/>
                <w:szCs w:val="20"/>
              </w:rPr>
              <w:t>Wrocław</w:t>
            </w:r>
            <w:proofErr w:type="spellEnd"/>
            <w:r w:rsidRPr="00800578">
              <w:rPr>
                <w:rFonts w:ascii="Verdana" w:eastAsia="Verdana" w:hAnsi="Verdana" w:cs="Times New Roman"/>
                <w:color w:val="auto"/>
                <w:szCs w:val="20"/>
              </w:rPr>
              <w:t xml:space="preserve"> (54-066), </w:t>
            </w:r>
            <w:proofErr w:type="spellStart"/>
            <w:r w:rsidRPr="00800578">
              <w:rPr>
                <w:rFonts w:ascii="Verdana" w:eastAsia="Verdana" w:hAnsi="Verdana" w:cs="Times New Roman"/>
                <w:color w:val="auto"/>
                <w:szCs w:val="20"/>
              </w:rPr>
              <w:t>ul</w:t>
            </w:r>
            <w:proofErr w:type="spellEnd"/>
            <w:r w:rsidRPr="00800578">
              <w:rPr>
                <w:rFonts w:ascii="Verdana" w:eastAsia="Verdana" w:hAnsi="Verdana" w:cs="Times New Roman"/>
                <w:color w:val="auto"/>
                <w:szCs w:val="20"/>
              </w:rPr>
              <w:t xml:space="preserve">. </w:t>
            </w:r>
            <w:proofErr w:type="spellStart"/>
            <w:r w:rsidRPr="00800578">
              <w:rPr>
                <w:rFonts w:ascii="Verdana" w:eastAsia="Verdana" w:hAnsi="Verdana" w:cs="Times New Roman"/>
                <w:color w:val="auto"/>
                <w:szCs w:val="20"/>
              </w:rPr>
              <w:t>Stabłowicka</w:t>
            </w:r>
            <w:proofErr w:type="spellEnd"/>
            <w:r w:rsidRPr="00800578">
              <w:rPr>
                <w:rFonts w:ascii="Verdana" w:eastAsia="Verdana" w:hAnsi="Verdana" w:cs="Times New Roman"/>
                <w:color w:val="auto"/>
                <w:szCs w:val="20"/>
              </w:rPr>
              <w:t xml:space="preserve"> 147, operating under the Łukasiewicz Research Network Act of 21 February 2019 (Journal of Laws of 2019 item 534, as amended), entered in the register of entrepreneurs managed by the </w:t>
            </w:r>
            <w:proofErr w:type="spellStart"/>
            <w:r w:rsidRPr="00800578">
              <w:rPr>
                <w:rFonts w:ascii="Verdana" w:eastAsia="Verdana" w:hAnsi="Verdana" w:cs="Times New Roman"/>
                <w:color w:val="auto"/>
                <w:szCs w:val="20"/>
              </w:rPr>
              <w:t>Wrocław-Fabryczna</w:t>
            </w:r>
            <w:proofErr w:type="spellEnd"/>
            <w:r w:rsidRPr="00800578">
              <w:rPr>
                <w:rFonts w:ascii="Verdana" w:eastAsia="Verdana" w:hAnsi="Verdana" w:cs="Times New Roman"/>
                <w:color w:val="auto"/>
                <w:szCs w:val="20"/>
              </w:rPr>
              <w:t xml:space="preserve"> District Court in </w:t>
            </w:r>
            <w:proofErr w:type="spellStart"/>
            <w:r w:rsidRPr="00800578">
              <w:rPr>
                <w:rFonts w:ascii="Verdana" w:eastAsia="Verdana" w:hAnsi="Verdana" w:cs="Times New Roman"/>
                <w:color w:val="auto"/>
                <w:szCs w:val="20"/>
              </w:rPr>
              <w:t>Wrocław</w:t>
            </w:r>
            <w:proofErr w:type="spellEnd"/>
            <w:r w:rsidRPr="00800578">
              <w:rPr>
                <w:rFonts w:ascii="Verdana" w:eastAsia="Verdana" w:hAnsi="Verdana" w:cs="Times New Roman"/>
                <w:color w:val="auto"/>
                <w:szCs w:val="20"/>
              </w:rPr>
              <w:t xml:space="preserve">, 6th Commercial Division of the National Court Register under KRS No. </w:t>
            </w:r>
            <w:r w:rsidR="00CF2301" w:rsidRPr="00800578">
              <w:rPr>
                <w:rFonts w:ascii="Verdana" w:hAnsi="Verdana" w:cs="Tahoma"/>
                <w:bCs/>
                <w:color w:val="auto"/>
                <w:szCs w:val="20"/>
              </w:rPr>
              <w:t>0000850580</w:t>
            </w:r>
            <w:r w:rsidRPr="00800578">
              <w:rPr>
                <w:rFonts w:ascii="Verdana" w:eastAsia="Verdana" w:hAnsi="Verdana" w:cs="Times New Roman"/>
                <w:color w:val="auto"/>
                <w:szCs w:val="20"/>
              </w:rPr>
              <w:t>, NIP (Tax ID): 8943140523, REGON (Business Registry Number): 386585168,</w:t>
            </w:r>
          </w:p>
        </w:tc>
      </w:tr>
      <w:tr w:rsidR="00DC5214" w:rsidRPr="00800578" w14:paraId="6D6F1FE9" w14:textId="77777777" w:rsidTr="007D510B">
        <w:tc>
          <w:tcPr>
            <w:tcW w:w="4151" w:type="dxa"/>
          </w:tcPr>
          <w:p w14:paraId="4E2FC88F" w14:textId="49FEDBA6" w:rsidR="00DC5214" w:rsidRPr="00800578" w:rsidRDefault="00D2501A" w:rsidP="006371E6">
            <w:pPr>
              <w:spacing w:after="120" w:line="276" w:lineRule="auto"/>
              <w:rPr>
                <w:rFonts w:ascii="Verdana" w:hAnsi="Verdana"/>
                <w:color w:val="auto"/>
                <w:szCs w:val="20"/>
                <w:lang w:val="pl-PL"/>
              </w:rPr>
            </w:pPr>
            <w:r w:rsidRPr="00800578">
              <w:rPr>
                <w:rFonts w:ascii="Verdana" w:hAnsi="Verdana"/>
                <w:color w:val="auto"/>
                <w:szCs w:val="20"/>
                <w:lang w:val="pl-PL"/>
              </w:rPr>
              <w:t>reprezentowanym przez: [___]</w:t>
            </w:r>
          </w:p>
        </w:tc>
        <w:tc>
          <w:tcPr>
            <w:tcW w:w="4152" w:type="dxa"/>
          </w:tcPr>
          <w:p w14:paraId="1A2DE321" w14:textId="77777777" w:rsidR="00DC5214" w:rsidRPr="00800578" w:rsidRDefault="0080446D" w:rsidP="006371E6">
            <w:pPr>
              <w:spacing w:after="120" w:line="276" w:lineRule="auto"/>
              <w:jc w:val="center"/>
              <w:rPr>
                <w:color w:val="auto"/>
                <w:szCs w:val="20"/>
              </w:rPr>
            </w:pPr>
            <w:r w:rsidRPr="00800578">
              <w:rPr>
                <w:color w:val="auto"/>
                <w:szCs w:val="20"/>
              </w:rPr>
              <w:t>represented by: [___]</w:t>
            </w:r>
          </w:p>
        </w:tc>
      </w:tr>
      <w:tr w:rsidR="00DC5214" w:rsidRPr="00800578" w14:paraId="69612B40" w14:textId="77777777" w:rsidTr="007D510B">
        <w:tc>
          <w:tcPr>
            <w:tcW w:w="4151" w:type="dxa"/>
          </w:tcPr>
          <w:p w14:paraId="5B280CF4" w14:textId="77777777" w:rsidR="00DC5214" w:rsidRPr="00800578" w:rsidRDefault="00D2501A" w:rsidP="006371E6">
            <w:pPr>
              <w:spacing w:after="120" w:line="276" w:lineRule="auto"/>
              <w:rPr>
                <w:b/>
                <w:color w:val="auto"/>
                <w:szCs w:val="20"/>
                <w:lang w:val="pl-PL"/>
              </w:rPr>
            </w:pPr>
            <w:r w:rsidRPr="00800578">
              <w:rPr>
                <w:rFonts w:ascii="Verdana" w:hAnsi="Verdana"/>
                <w:color w:val="auto"/>
                <w:szCs w:val="20"/>
                <w:lang w:val="pl-PL"/>
              </w:rPr>
              <w:t>zwanym dalej „</w:t>
            </w:r>
            <w:r w:rsidRPr="00800578">
              <w:rPr>
                <w:rFonts w:ascii="Verdana" w:hAnsi="Verdana"/>
                <w:b/>
                <w:color w:val="auto"/>
                <w:szCs w:val="20"/>
                <w:lang w:val="pl-PL"/>
              </w:rPr>
              <w:t xml:space="preserve">ŁUKASIEWICZ </w:t>
            </w:r>
            <w:r w:rsidRPr="00800578">
              <w:rPr>
                <w:rFonts w:ascii="Verdana" w:hAnsi="Verdana"/>
                <w:szCs w:val="20"/>
                <w:lang w:val="pl-PL"/>
              </w:rPr>
              <w:t>–</w:t>
            </w:r>
            <w:r w:rsidRPr="00800578">
              <w:rPr>
                <w:rFonts w:ascii="Verdana" w:hAnsi="Verdana"/>
                <w:lang w:val="pl-PL"/>
              </w:rPr>
              <w:t xml:space="preserve"> </w:t>
            </w:r>
            <w:r w:rsidRPr="00800578">
              <w:rPr>
                <w:rFonts w:ascii="Verdana" w:hAnsi="Verdana"/>
                <w:b/>
                <w:color w:val="auto"/>
                <w:szCs w:val="20"/>
                <w:lang w:val="pl-PL"/>
              </w:rPr>
              <w:t>PORT”</w:t>
            </w:r>
            <w:r w:rsidRPr="00800578">
              <w:rPr>
                <w:rFonts w:ascii="Verdana" w:hAnsi="Verdana"/>
                <w:color w:val="auto"/>
                <w:szCs w:val="20"/>
                <w:lang w:val="pl-PL"/>
              </w:rPr>
              <w:t>,</w:t>
            </w:r>
          </w:p>
        </w:tc>
        <w:tc>
          <w:tcPr>
            <w:tcW w:w="4152" w:type="dxa"/>
          </w:tcPr>
          <w:p w14:paraId="2A85C848" w14:textId="77777777" w:rsidR="00DC5214" w:rsidRPr="00800578" w:rsidRDefault="0080446D" w:rsidP="006371E6">
            <w:pPr>
              <w:spacing w:after="120" w:line="276" w:lineRule="auto"/>
              <w:rPr>
                <w:color w:val="auto"/>
                <w:szCs w:val="20"/>
              </w:rPr>
            </w:pPr>
            <w:r w:rsidRPr="00800578">
              <w:rPr>
                <w:color w:val="auto"/>
                <w:szCs w:val="20"/>
              </w:rPr>
              <w:t xml:space="preserve">hereinafter </w:t>
            </w:r>
            <w:r w:rsidRPr="00800578">
              <w:rPr>
                <w:b/>
                <w:color w:val="auto"/>
                <w:szCs w:val="20"/>
              </w:rPr>
              <w:t>“</w:t>
            </w:r>
            <w:r w:rsidRPr="00800578">
              <w:rPr>
                <w:b/>
                <w:bCs/>
                <w:color w:val="auto"/>
                <w:szCs w:val="20"/>
              </w:rPr>
              <w:t>ŁUKASIEWICZ - PORT</w:t>
            </w:r>
            <w:r w:rsidRPr="00800578">
              <w:rPr>
                <w:b/>
                <w:color w:val="auto"/>
                <w:szCs w:val="20"/>
              </w:rPr>
              <w:t>”,</w:t>
            </w:r>
          </w:p>
        </w:tc>
      </w:tr>
      <w:tr w:rsidR="006371E6" w:rsidRPr="00800578" w14:paraId="5B10DE01" w14:textId="77777777" w:rsidTr="007D510B">
        <w:tc>
          <w:tcPr>
            <w:tcW w:w="4151" w:type="dxa"/>
          </w:tcPr>
          <w:p w14:paraId="43D0AD5F" w14:textId="77777777" w:rsidR="006371E6" w:rsidRPr="00800578" w:rsidRDefault="006371E6" w:rsidP="006371E6">
            <w:pPr>
              <w:spacing w:after="120" w:line="276" w:lineRule="auto"/>
              <w:rPr>
                <w:rFonts w:ascii="Verdana" w:hAnsi="Verdana"/>
                <w:color w:val="auto"/>
                <w:szCs w:val="20"/>
                <w:lang w:val="pl-PL"/>
              </w:rPr>
            </w:pPr>
          </w:p>
        </w:tc>
        <w:tc>
          <w:tcPr>
            <w:tcW w:w="4152" w:type="dxa"/>
          </w:tcPr>
          <w:p w14:paraId="3797F14D" w14:textId="77777777" w:rsidR="006371E6" w:rsidRPr="00800578" w:rsidRDefault="006371E6" w:rsidP="006371E6">
            <w:pPr>
              <w:spacing w:after="120" w:line="276" w:lineRule="auto"/>
              <w:rPr>
                <w:color w:val="auto"/>
                <w:szCs w:val="20"/>
              </w:rPr>
            </w:pPr>
          </w:p>
        </w:tc>
      </w:tr>
      <w:tr w:rsidR="00DC5214" w:rsidRPr="00800578" w14:paraId="5E5B06F8" w14:textId="77777777" w:rsidTr="007D510B">
        <w:tc>
          <w:tcPr>
            <w:tcW w:w="4151" w:type="dxa"/>
          </w:tcPr>
          <w:p w14:paraId="4FC51FD3" w14:textId="77777777" w:rsidR="00DC5214" w:rsidRPr="00800578" w:rsidRDefault="00D2501A" w:rsidP="006371E6">
            <w:pPr>
              <w:spacing w:after="120" w:line="276" w:lineRule="auto"/>
              <w:jc w:val="left"/>
              <w:rPr>
                <w:bCs/>
                <w:color w:val="auto"/>
                <w:szCs w:val="20"/>
                <w:lang w:val="pl-PL"/>
              </w:rPr>
            </w:pPr>
            <w:r w:rsidRPr="00800578">
              <w:rPr>
                <w:bCs/>
                <w:color w:val="auto"/>
                <w:szCs w:val="20"/>
                <w:lang w:val="pl-PL"/>
              </w:rPr>
              <w:t>a</w:t>
            </w:r>
          </w:p>
        </w:tc>
        <w:tc>
          <w:tcPr>
            <w:tcW w:w="4152" w:type="dxa"/>
          </w:tcPr>
          <w:p w14:paraId="5862B8DE" w14:textId="77777777" w:rsidR="00DC5214" w:rsidRPr="00800578" w:rsidRDefault="0080446D" w:rsidP="006371E6">
            <w:pPr>
              <w:spacing w:after="120" w:line="276" w:lineRule="auto"/>
              <w:jc w:val="left"/>
              <w:rPr>
                <w:bCs/>
                <w:color w:val="auto"/>
                <w:szCs w:val="20"/>
              </w:rPr>
            </w:pPr>
            <w:r w:rsidRPr="00800578">
              <w:rPr>
                <w:bCs/>
                <w:color w:val="auto"/>
                <w:szCs w:val="20"/>
              </w:rPr>
              <w:t>and</w:t>
            </w:r>
          </w:p>
        </w:tc>
      </w:tr>
      <w:tr w:rsidR="006371E6" w:rsidRPr="00800578" w14:paraId="63116C02" w14:textId="77777777" w:rsidTr="007D510B">
        <w:tc>
          <w:tcPr>
            <w:tcW w:w="4151" w:type="dxa"/>
          </w:tcPr>
          <w:p w14:paraId="30EBA1F8" w14:textId="77777777" w:rsidR="006371E6" w:rsidRPr="00800578" w:rsidRDefault="006371E6" w:rsidP="006371E6">
            <w:pPr>
              <w:spacing w:after="120" w:line="276" w:lineRule="auto"/>
              <w:jc w:val="left"/>
              <w:rPr>
                <w:bCs/>
                <w:color w:val="auto"/>
                <w:szCs w:val="20"/>
                <w:lang w:val="pl-PL"/>
              </w:rPr>
            </w:pPr>
          </w:p>
        </w:tc>
        <w:tc>
          <w:tcPr>
            <w:tcW w:w="4152" w:type="dxa"/>
          </w:tcPr>
          <w:p w14:paraId="5AB168E1" w14:textId="77777777" w:rsidR="006371E6" w:rsidRPr="00800578" w:rsidRDefault="006371E6" w:rsidP="006371E6">
            <w:pPr>
              <w:spacing w:after="120" w:line="276" w:lineRule="auto"/>
              <w:jc w:val="left"/>
              <w:rPr>
                <w:bCs/>
                <w:color w:val="auto"/>
                <w:szCs w:val="20"/>
              </w:rPr>
            </w:pPr>
          </w:p>
        </w:tc>
      </w:tr>
      <w:tr w:rsidR="00DC5214" w:rsidRPr="00800578" w14:paraId="6E6F93BE" w14:textId="77777777" w:rsidTr="007D510B">
        <w:tc>
          <w:tcPr>
            <w:tcW w:w="4151" w:type="dxa"/>
          </w:tcPr>
          <w:p w14:paraId="65274EA1" w14:textId="77777777" w:rsidR="00D2501A" w:rsidRPr="00800578" w:rsidRDefault="00D2501A" w:rsidP="006371E6">
            <w:pPr>
              <w:spacing w:after="120" w:line="276" w:lineRule="auto"/>
              <w:rPr>
                <w:rFonts w:ascii="Verdana" w:hAnsi="Verdana" w:cs="Calibri Light"/>
                <w:color w:val="auto"/>
                <w:szCs w:val="20"/>
                <w:lang w:val="pl-PL"/>
              </w:rPr>
            </w:pPr>
            <w:r w:rsidRPr="00800578">
              <w:rPr>
                <w:rFonts w:ascii="Verdana" w:hAnsi="Verdana"/>
                <w:b/>
                <w:bCs/>
                <w:color w:val="auto"/>
                <w:szCs w:val="20"/>
                <w:lang w:val="pl-PL"/>
              </w:rPr>
              <w:t>[___]</w:t>
            </w:r>
            <w:r w:rsidRPr="00800578">
              <w:rPr>
                <w:rFonts w:ascii="Verdana" w:hAnsi="Verdana" w:cs="Calibri Light"/>
                <w:color w:val="auto"/>
                <w:szCs w:val="20"/>
                <w:lang w:val="pl-PL"/>
              </w:rPr>
              <w:t xml:space="preserve"> z siedzibą w </w:t>
            </w:r>
            <w:r w:rsidRPr="00800578">
              <w:rPr>
                <w:rFonts w:ascii="Verdana" w:hAnsi="Verdana"/>
                <w:color w:val="auto"/>
                <w:szCs w:val="20"/>
                <w:lang w:val="pl-PL"/>
              </w:rPr>
              <w:t>[___]</w:t>
            </w:r>
            <w:r w:rsidRPr="00800578">
              <w:rPr>
                <w:rFonts w:ascii="Verdana" w:hAnsi="Verdana" w:cs="Calibri Light"/>
                <w:color w:val="auto"/>
                <w:szCs w:val="20"/>
                <w:lang w:val="pl-PL"/>
              </w:rPr>
              <w:t xml:space="preserve"> przy ulicy </w:t>
            </w:r>
            <w:r w:rsidRPr="00800578">
              <w:rPr>
                <w:rFonts w:ascii="Verdana" w:hAnsi="Verdana"/>
                <w:color w:val="auto"/>
                <w:szCs w:val="20"/>
                <w:lang w:val="pl-PL"/>
              </w:rPr>
              <w:t>[___]</w:t>
            </w:r>
            <w:r w:rsidRPr="00800578">
              <w:rPr>
                <w:rFonts w:ascii="Verdana" w:hAnsi="Verdana" w:cs="Calibri Light"/>
                <w:color w:val="auto"/>
                <w:szCs w:val="20"/>
                <w:lang w:val="pl-PL"/>
              </w:rPr>
              <w:t xml:space="preserve"> ,wpisaną/</w:t>
            </w:r>
            <w:proofErr w:type="spellStart"/>
            <w:r w:rsidRPr="00800578">
              <w:rPr>
                <w:rFonts w:ascii="Verdana" w:hAnsi="Verdana" w:cs="Calibri Light"/>
                <w:color w:val="auto"/>
                <w:szCs w:val="20"/>
                <w:lang w:val="pl-PL"/>
              </w:rPr>
              <w:t>ym</w:t>
            </w:r>
            <w:proofErr w:type="spellEnd"/>
            <w:r w:rsidRPr="00800578">
              <w:rPr>
                <w:rFonts w:ascii="Verdana" w:hAnsi="Verdana" w:cs="Calibri Light"/>
                <w:color w:val="auto"/>
                <w:szCs w:val="20"/>
                <w:lang w:val="pl-PL"/>
              </w:rPr>
              <w:t xml:space="preserve"> do </w:t>
            </w:r>
            <w:r w:rsidRPr="00800578">
              <w:rPr>
                <w:rFonts w:ascii="Verdana" w:hAnsi="Verdana"/>
                <w:color w:val="auto"/>
                <w:szCs w:val="20"/>
                <w:lang w:val="pl-PL"/>
              </w:rPr>
              <w:t>[___], KRS: [___], NIP: [____], PESEL: [____], REGON: [___]</w:t>
            </w:r>
          </w:p>
          <w:p w14:paraId="30005DF7" w14:textId="77777777" w:rsidR="00D2501A" w:rsidRPr="00800578" w:rsidRDefault="00D2501A" w:rsidP="006371E6">
            <w:pPr>
              <w:spacing w:after="120" w:line="276" w:lineRule="auto"/>
              <w:rPr>
                <w:rFonts w:ascii="Verdana" w:hAnsi="Verdana" w:cs="Calibri Light"/>
                <w:color w:val="auto"/>
                <w:szCs w:val="20"/>
                <w:lang w:val="pl-PL"/>
              </w:rPr>
            </w:pPr>
            <w:r w:rsidRPr="00800578">
              <w:rPr>
                <w:rFonts w:ascii="Verdana" w:hAnsi="Verdana" w:cs="Calibri Light"/>
                <w:color w:val="auto"/>
                <w:szCs w:val="20"/>
                <w:lang w:val="pl-PL"/>
              </w:rPr>
              <w:t>reprezentowaną/</w:t>
            </w:r>
            <w:proofErr w:type="spellStart"/>
            <w:r w:rsidRPr="00800578">
              <w:rPr>
                <w:rFonts w:ascii="Verdana" w:hAnsi="Verdana" w:cs="Calibri Light"/>
                <w:color w:val="auto"/>
                <w:szCs w:val="20"/>
                <w:lang w:val="pl-PL"/>
              </w:rPr>
              <w:t>ym</w:t>
            </w:r>
            <w:proofErr w:type="spellEnd"/>
            <w:r w:rsidRPr="00800578">
              <w:rPr>
                <w:rFonts w:ascii="Verdana" w:hAnsi="Verdana" w:cs="Calibri Light"/>
                <w:color w:val="auto"/>
                <w:szCs w:val="20"/>
                <w:lang w:val="pl-PL"/>
              </w:rPr>
              <w:t xml:space="preserve"> przez: </w:t>
            </w:r>
          </w:p>
          <w:p w14:paraId="1921A0A7" w14:textId="3121ADB2" w:rsidR="00DC5214" w:rsidRPr="00800578" w:rsidRDefault="00D2501A" w:rsidP="006371E6">
            <w:pPr>
              <w:spacing w:after="120" w:line="276" w:lineRule="auto"/>
              <w:rPr>
                <w:rFonts w:ascii="Verdana" w:hAnsi="Verdana" w:cs="Calibri Light"/>
                <w:color w:val="auto"/>
                <w:szCs w:val="20"/>
                <w:vertAlign w:val="superscript"/>
                <w:lang w:val="pl-PL"/>
              </w:rPr>
            </w:pPr>
            <w:r w:rsidRPr="00800578">
              <w:rPr>
                <w:rFonts w:ascii="Verdana" w:hAnsi="Verdana"/>
                <w:color w:val="auto"/>
                <w:szCs w:val="20"/>
                <w:lang w:val="pl-PL"/>
              </w:rPr>
              <w:t>[___]</w:t>
            </w:r>
            <w:r w:rsidRPr="00800578">
              <w:rPr>
                <w:rFonts w:ascii="Verdana" w:hAnsi="Verdana" w:cs="Calibri Light"/>
                <w:color w:val="auto"/>
                <w:szCs w:val="20"/>
                <w:lang w:val="pl-PL"/>
              </w:rPr>
              <w:t>-</w:t>
            </w:r>
            <w:r w:rsidRPr="00800578">
              <w:rPr>
                <w:rFonts w:ascii="Verdana" w:hAnsi="Verdana"/>
                <w:color w:val="auto"/>
                <w:szCs w:val="20"/>
                <w:lang w:val="pl-PL"/>
              </w:rPr>
              <w:t>[___]</w:t>
            </w:r>
          </w:p>
        </w:tc>
        <w:tc>
          <w:tcPr>
            <w:tcW w:w="4152" w:type="dxa"/>
          </w:tcPr>
          <w:p w14:paraId="3A1CEAEE" w14:textId="77777777" w:rsidR="0080446D" w:rsidRPr="00800578" w:rsidRDefault="0080446D" w:rsidP="006371E6">
            <w:pPr>
              <w:spacing w:after="120" w:line="276" w:lineRule="auto"/>
              <w:rPr>
                <w:color w:val="auto"/>
                <w:szCs w:val="20"/>
              </w:rPr>
            </w:pPr>
            <w:r w:rsidRPr="00800578">
              <w:rPr>
                <w:b/>
                <w:bCs/>
                <w:color w:val="auto"/>
                <w:szCs w:val="20"/>
              </w:rPr>
              <w:t>[___]</w:t>
            </w:r>
            <w:r w:rsidRPr="00800578">
              <w:rPr>
                <w:color w:val="auto"/>
                <w:szCs w:val="20"/>
              </w:rPr>
              <w:t xml:space="preserve"> based in [___] at [___] ,registered with [___], KRS: [___], NIP: [____], PESEL (national identification number): [____], REGON: [___]</w:t>
            </w:r>
          </w:p>
          <w:p w14:paraId="026D7226" w14:textId="77777777" w:rsidR="0080446D" w:rsidRPr="00800578" w:rsidRDefault="0080446D" w:rsidP="006371E6">
            <w:pPr>
              <w:spacing w:after="120" w:line="276" w:lineRule="auto"/>
              <w:jc w:val="left"/>
              <w:rPr>
                <w:color w:val="auto"/>
                <w:szCs w:val="20"/>
              </w:rPr>
            </w:pPr>
            <w:r w:rsidRPr="00800578">
              <w:rPr>
                <w:color w:val="auto"/>
                <w:szCs w:val="20"/>
              </w:rPr>
              <w:t xml:space="preserve">represented by </w:t>
            </w:r>
          </w:p>
          <w:p w14:paraId="3BC0CC6F" w14:textId="5941CCC4" w:rsidR="00DC5214" w:rsidRPr="00800578" w:rsidRDefault="000653C6" w:rsidP="006371E6">
            <w:pPr>
              <w:spacing w:after="120" w:line="276" w:lineRule="auto"/>
              <w:jc w:val="left"/>
              <w:rPr>
                <w:color w:val="auto"/>
                <w:szCs w:val="20"/>
                <w:vertAlign w:val="superscript"/>
              </w:rPr>
            </w:pPr>
            <w:r w:rsidRPr="00800578">
              <w:rPr>
                <w:color w:val="auto"/>
                <w:szCs w:val="20"/>
              </w:rPr>
              <w:t>[___]-[___]</w:t>
            </w:r>
          </w:p>
        </w:tc>
      </w:tr>
      <w:tr w:rsidR="00DC5214" w:rsidRPr="00800578" w14:paraId="6EE02718" w14:textId="77777777" w:rsidTr="007D510B">
        <w:tc>
          <w:tcPr>
            <w:tcW w:w="4151" w:type="dxa"/>
          </w:tcPr>
          <w:p w14:paraId="4983D390" w14:textId="77777777" w:rsidR="00D2501A" w:rsidRPr="00800578" w:rsidRDefault="00D2501A" w:rsidP="006371E6">
            <w:pPr>
              <w:spacing w:after="120" w:line="276" w:lineRule="auto"/>
              <w:rPr>
                <w:rFonts w:ascii="Verdana" w:eastAsia="Verdana" w:hAnsi="Verdana" w:cs="Times New Roman"/>
                <w:color w:val="auto"/>
                <w:szCs w:val="20"/>
                <w:lang w:val="pl-PL"/>
              </w:rPr>
            </w:pPr>
            <w:r w:rsidRPr="00800578">
              <w:rPr>
                <w:rFonts w:ascii="Verdana" w:eastAsia="Verdana" w:hAnsi="Verdana" w:cs="Times New Roman"/>
                <w:color w:val="auto"/>
                <w:szCs w:val="20"/>
                <w:lang w:val="pl-PL"/>
              </w:rPr>
              <w:t>zwaną/</w:t>
            </w:r>
            <w:proofErr w:type="spellStart"/>
            <w:r w:rsidRPr="00800578">
              <w:rPr>
                <w:rFonts w:ascii="Verdana" w:eastAsia="Verdana" w:hAnsi="Verdana" w:cs="Times New Roman"/>
                <w:color w:val="auto"/>
                <w:szCs w:val="20"/>
                <w:lang w:val="pl-PL"/>
              </w:rPr>
              <w:t>ym</w:t>
            </w:r>
            <w:proofErr w:type="spellEnd"/>
            <w:r w:rsidRPr="00800578">
              <w:rPr>
                <w:rFonts w:ascii="Verdana" w:eastAsia="Verdana" w:hAnsi="Verdana" w:cs="Times New Roman"/>
                <w:color w:val="auto"/>
                <w:szCs w:val="20"/>
                <w:lang w:val="pl-PL"/>
              </w:rPr>
              <w:t xml:space="preserve"> dalej „</w:t>
            </w:r>
            <w:r w:rsidRPr="00800578">
              <w:rPr>
                <w:rFonts w:ascii="Verdana" w:eastAsia="Verdana" w:hAnsi="Verdana" w:cs="Times New Roman"/>
                <w:b/>
                <w:color w:val="auto"/>
                <w:szCs w:val="20"/>
                <w:lang w:val="pl-PL"/>
              </w:rPr>
              <w:t>Odbiorcą</w:t>
            </w:r>
            <w:r w:rsidRPr="00800578">
              <w:rPr>
                <w:rFonts w:ascii="Verdana" w:eastAsia="Verdana" w:hAnsi="Verdana" w:cs="Times New Roman"/>
                <w:color w:val="auto"/>
                <w:szCs w:val="20"/>
                <w:lang w:val="pl-PL"/>
              </w:rPr>
              <w:t>”,</w:t>
            </w:r>
          </w:p>
          <w:p w14:paraId="615818BF" w14:textId="77777777" w:rsidR="00DC5214" w:rsidRPr="00800578" w:rsidRDefault="00D2501A" w:rsidP="006371E6">
            <w:pPr>
              <w:spacing w:after="120" w:line="276" w:lineRule="auto"/>
              <w:jc w:val="left"/>
              <w:rPr>
                <w:b/>
                <w:color w:val="auto"/>
                <w:szCs w:val="20"/>
                <w:lang w:val="pl-PL"/>
              </w:rPr>
            </w:pPr>
            <w:r w:rsidRPr="00800578">
              <w:rPr>
                <w:rFonts w:ascii="Verdana" w:eastAsia="Verdana" w:hAnsi="Verdana" w:cs="Times New Roman"/>
                <w:color w:val="auto"/>
                <w:szCs w:val="20"/>
                <w:lang w:val="pl-PL"/>
              </w:rPr>
              <w:lastRenderedPageBreak/>
              <w:t>zwanymi dalej łącznie „</w:t>
            </w:r>
            <w:r w:rsidRPr="00800578">
              <w:rPr>
                <w:rFonts w:ascii="Verdana" w:eastAsia="Verdana" w:hAnsi="Verdana" w:cs="Times New Roman"/>
                <w:b/>
                <w:color w:val="auto"/>
                <w:szCs w:val="20"/>
                <w:lang w:val="pl-PL"/>
              </w:rPr>
              <w:t>Stronami</w:t>
            </w:r>
            <w:r w:rsidRPr="00800578">
              <w:rPr>
                <w:rFonts w:ascii="Verdana" w:eastAsia="Verdana" w:hAnsi="Verdana" w:cs="Times New Roman"/>
                <w:color w:val="auto"/>
                <w:szCs w:val="20"/>
                <w:lang w:val="pl-PL"/>
              </w:rPr>
              <w:t>” lub indywidualnie „</w:t>
            </w:r>
            <w:r w:rsidRPr="00800578">
              <w:rPr>
                <w:rFonts w:ascii="Verdana" w:eastAsia="Verdana" w:hAnsi="Verdana" w:cs="Times New Roman"/>
                <w:b/>
                <w:color w:val="auto"/>
                <w:szCs w:val="20"/>
                <w:lang w:val="pl-PL"/>
              </w:rPr>
              <w:t>Stroną”</w:t>
            </w:r>
            <w:r w:rsidRPr="00800578">
              <w:rPr>
                <w:rFonts w:ascii="Verdana" w:eastAsia="Verdana" w:hAnsi="Verdana" w:cs="Times New Roman"/>
                <w:color w:val="auto"/>
                <w:szCs w:val="20"/>
                <w:lang w:val="pl-PL"/>
              </w:rPr>
              <w:t>.</w:t>
            </w:r>
          </w:p>
        </w:tc>
        <w:tc>
          <w:tcPr>
            <w:tcW w:w="4152" w:type="dxa"/>
          </w:tcPr>
          <w:p w14:paraId="0BBA44A3" w14:textId="77777777" w:rsidR="000653C6" w:rsidRPr="00800578" w:rsidRDefault="000653C6" w:rsidP="006371E6">
            <w:pPr>
              <w:spacing w:after="120" w:line="276" w:lineRule="auto"/>
              <w:jc w:val="center"/>
              <w:rPr>
                <w:color w:val="auto"/>
                <w:szCs w:val="20"/>
              </w:rPr>
            </w:pPr>
            <w:r w:rsidRPr="00800578">
              <w:rPr>
                <w:color w:val="auto"/>
                <w:szCs w:val="20"/>
              </w:rPr>
              <w:lastRenderedPageBreak/>
              <w:t xml:space="preserve">hereinafter </w:t>
            </w:r>
            <w:r w:rsidRPr="00800578">
              <w:rPr>
                <w:b/>
                <w:color w:val="auto"/>
                <w:szCs w:val="20"/>
              </w:rPr>
              <w:t>“</w:t>
            </w:r>
            <w:r w:rsidRPr="00800578">
              <w:rPr>
                <w:b/>
                <w:bCs/>
                <w:color w:val="auto"/>
                <w:szCs w:val="20"/>
              </w:rPr>
              <w:t>the Receiving Party</w:t>
            </w:r>
            <w:r w:rsidRPr="00800578">
              <w:rPr>
                <w:b/>
                <w:color w:val="auto"/>
                <w:szCs w:val="20"/>
              </w:rPr>
              <w:t>,”</w:t>
            </w:r>
          </w:p>
          <w:p w14:paraId="03E7CE40" w14:textId="77777777" w:rsidR="00DC5214" w:rsidRPr="00800578" w:rsidRDefault="000653C6" w:rsidP="006371E6">
            <w:pPr>
              <w:spacing w:after="120" w:line="276" w:lineRule="auto"/>
              <w:jc w:val="left"/>
              <w:rPr>
                <w:color w:val="auto"/>
                <w:szCs w:val="20"/>
              </w:rPr>
            </w:pPr>
            <w:r w:rsidRPr="00800578">
              <w:rPr>
                <w:color w:val="auto"/>
                <w:szCs w:val="20"/>
              </w:rPr>
              <w:lastRenderedPageBreak/>
              <w:t xml:space="preserve">jointly referred to as </w:t>
            </w:r>
            <w:r w:rsidRPr="00800578">
              <w:rPr>
                <w:b/>
                <w:color w:val="auto"/>
                <w:szCs w:val="20"/>
              </w:rPr>
              <w:t>“</w:t>
            </w:r>
            <w:r w:rsidRPr="00800578">
              <w:rPr>
                <w:b/>
                <w:bCs/>
                <w:color w:val="auto"/>
                <w:szCs w:val="20"/>
              </w:rPr>
              <w:t>the Parties</w:t>
            </w:r>
            <w:r w:rsidRPr="00800578">
              <w:rPr>
                <w:b/>
                <w:color w:val="auto"/>
                <w:szCs w:val="20"/>
              </w:rPr>
              <w:t>”</w:t>
            </w:r>
            <w:r w:rsidRPr="00800578">
              <w:rPr>
                <w:color w:val="auto"/>
                <w:szCs w:val="20"/>
              </w:rPr>
              <w:t xml:space="preserve"> and individually as </w:t>
            </w:r>
            <w:r w:rsidRPr="00800578">
              <w:rPr>
                <w:b/>
                <w:color w:val="auto"/>
                <w:szCs w:val="20"/>
              </w:rPr>
              <w:t>“</w:t>
            </w:r>
            <w:r w:rsidRPr="00800578">
              <w:rPr>
                <w:b/>
                <w:bCs/>
                <w:color w:val="auto"/>
                <w:szCs w:val="20"/>
              </w:rPr>
              <w:t>the Party</w:t>
            </w:r>
            <w:r w:rsidRPr="00800578">
              <w:rPr>
                <w:b/>
                <w:color w:val="auto"/>
                <w:szCs w:val="20"/>
              </w:rPr>
              <w:t>.”</w:t>
            </w:r>
          </w:p>
        </w:tc>
      </w:tr>
      <w:tr w:rsidR="00D2501A" w:rsidRPr="00800578" w14:paraId="43F89195" w14:textId="77777777" w:rsidTr="007D510B">
        <w:tc>
          <w:tcPr>
            <w:tcW w:w="4151" w:type="dxa"/>
          </w:tcPr>
          <w:p w14:paraId="2848A640" w14:textId="77777777" w:rsidR="00D2501A" w:rsidRPr="003E0144" w:rsidRDefault="00D2501A" w:rsidP="006371E6">
            <w:pPr>
              <w:spacing w:after="120" w:line="276" w:lineRule="auto"/>
              <w:jc w:val="center"/>
              <w:rPr>
                <w:rFonts w:ascii="Verdana" w:hAnsi="Verdana" w:cs="Calibri Light"/>
                <w:bCs/>
                <w:color w:val="auto"/>
                <w:szCs w:val="20"/>
                <w:lang w:val="pl-PL"/>
              </w:rPr>
            </w:pPr>
            <w:r w:rsidRPr="003E0144">
              <w:rPr>
                <w:rFonts w:ascii="Verdana" w:hAnsi="Verdana"/>
                <w:bCs/>
                <w:color w:val="auto"/>
                <w:szCs w:val="20"/>
                <w:lang w:val="pl-PL"/>
              </w:rPr>
              <w:lastRenderedPageBreak/>
              <w:t>ZWAŻYWSZY NA TO, ŻE</w:t>
            </w:r>
          </w:p>
          <w:p w14:paraId="061EB9B3" w14:textId="7DA7DE25" w:rsidR="00D2501A" w:rsidRPr="003E0144" w:rsidRDefault="00D2501A" w:rsidP="00134895">
            <w:pPr>
              <w:pStyle w:val="Akapitzlist"/>
              <w:numPr>
                <w:ilvl w:val="0"/>
                <w:numId w:val="12"/>
              </w:numPr>
              <w:spacing w:after="120" w:line="276" w:lineRule="auto"/>
              <w:jc w:val="both"/>
              <w:rPr>
                <w:rFonts w:ascii="Verdana" w:hAnsi="Verdana"/>
                <w:sz w:val="20"/>
                <w:szCs w:val="20"/>
                <w:lang w:val="pl-PL"/>
              </w:rPr>
            </w:pPr>
            <w:r w:rsidRPr="003E0144">
              <w:rPr>
                <w:rFonts w:ascii="Verdana" w:hAnsi="Verdana"/>
                <w:sz w:val="20"/>
                <w:szCs w:val="20"/>
                <w:lang w:val="pl-PL"/>
              </w:rPr>
              <w:t>Strony deklarują zamiar podjęcia współpracy, której przedmiotem będ</w:t>
            </w:r>
            <w:r w:rsidR="00134895" w:rsidRPr="003E0144">
              <w:rPr>
                <w:rFonts w:ascii="Verdana" w:hAnsi="Verdana"/>
                <w:sz w:val="20"/>
                <w:szCs w:val="20"/>
                <w:lang w:val="pl-PL"/>
              </w:rPr>
              <w:t>ą</w:t>
            </w:r>
            <w:r w:rsidRPr="003E0144">
              <w:rPr>
                <w:rFonts w:ascii="Verdana" w:hAnsi="Verdana"/>
                <w:sz w:val="20"/>
                <w:szCs w:val="20"/>
                <w:lang w:val="pl-PL"/>
              </w:rPr>
              <w:t xml:space="preserve"> </w:t>
            </w:r>
            <w:r w:rsidR="00134895" w:rsidRPr="003E0144">
              <w:rPr>
                <w:rFonts w:ascii="Verdana" w:hAnsi="Verdana"/>
                <w:sz w:val="20"/>
                <w:szCs w:val="20"/>
                <w:lang w:val="pl-PL"/>
              </w:rPr>
              <w:t>Wstępne konsultacje rynkowe w zakresie doradztwa i pozyskania informacji, służących do przygotowania postępowania o zamówienie publiczne pn.: „Wykonanie robót budowlanych mających na celu przebudowę i uruchomienie laboratorium BSL-3 w Łukasiewicz – PORT”</w:t>
            </w:r>
            <w:r w:rsidR="001D5E5D" w:rsidRPr="003E0144">
              <w:rPr>
                <w:rFonts w:ascii="Verdana" w:hAnsi="Verdana"/>
                <w:sz w:val="20"/>
                <w:szCs w:val="20"/>
                <w:lang w:val="pl-PL"/>
              </w:rPr>
              <w:t>.</w:t>
            </w:r>
            <w:r w:rsidRPr="003E0144" w:rsidDel="00BA6BBB">
              <w:rPr>
                <w:rFonts w:ascii="Verdana" w:hAnsi="Verdana"/>
                <w:szCs w:val="20"/>
                <w:lang w:val="pl-PL"/>
              </w:rPr>
              <w:t xml:space="preserve"> </w:t>
            </w:r>
          </w:p>
          <w:p w14:paraId="25A57462" w14:textId="77777777" w:rsidR="00943E13" w:rsidRPr="003E0144" w:rsidRDefault="00943E13" w:rsidP="00943E13">
            <w:pPr>
              <w:spacing w:after="120" w:line="276" w:lineRule="auto"/>
              <w:rPr>
                <w:rFonts w:ascii="Verdana" w:hAnsi="Verdana"/>
                <w:szCs w:val="20"/>
                <w:lang w:val="pl-PL"/>
              </w:rPr>
            </w:pPr>
          </w:p>
          <w:p w14:paraId="14779C36" w14:textId="77777777" w:rsidR="00943E13" w:rsidRPr="003E0144" w:rsidRDefault="00943E13" w:rsidP="00943E13">
            <w:pPr>
              <w:spacing w:after="120" w:line="276" w:lineRule="auto"/>
              <w:rPr>
                <w:rFonts w:ascii="Verdana" w:hAnsi="Verdana"/>
                <w:szCs w:val="20"/>
                <w:lang w:val="pl-PL"/>
              </w:rPr>
            </w:pPr>
          </w:p>
          <w:p w14:paraId="63C6B056" w14:textId="77777777" w:rsidR="00D2501A" w:rsidRPr="003E0144" w:rsidRDefault="00D2501A" w:rsidP="00AF2CE6">
            <w:pPr>
              <w:pStyle w:val="Akapitzlist"/>
              <w:numPr>
                <w:ilvl w:val="0"/>
                <w:numId w:val="12"/>
              </w:numPr>
              <w:spacing w:after="120" w:line="276" w:lineRule="auto"/>
              <w:ind w:left="746" w:hanging="425"/>
              <w:contextualSpacing w:val="0"/>
              <w:jc w:val="both"/>
              <w:rPr>
                <w:rFonts w:ascii="Verdana" w:hAnsi="Verdana"/>
                <w:sz w:val="20"/>
                <w:szCs w:val="20"/>
                <w:lang w:val="pl-PL"/>
              </w:rPr>
            </w:pPr>
            <w:r w:rsidRPr="003E0144">
              <w:rPr>
                <w:rFonts w:ascii="Verdana" w:hAnsi="Verdana"/>
                <w:sz w:val="20"/>
                <w:szCs w:val="20"/>
                <w:lang w:val="pl-PL"/>
              </w:rPr>
              <w:t>Odbiorca w związku z ww. współpracą może uzyskać od ŁUKASIEWICZ – PORT informacje, które dla ŁUKASIEWICZ – PORT mają charakter poufny;</w:t>
            </w:r>
          </w:p>
          <w:p w14:paraId="5867C8CE" w14:textId="77777777" w:rsidR="00D2501A" w:rsidRPr="003E0144" w:rsidRDefault="00D2501A" w:rsidP="00AF2CE6">
            <w:pPr>
              <w:pStyle w:val="Akapitzlist"/>
              <w:numPr>
                <w:ilvl w:val="0"/>
                <w:numId w:val="12"/>
              </w:numPr>
              <w:spacing w:after="120" w:line="276" w:lineRule="auto"/>
              <w:ind w:left="746" w:hanging="425"/>
              <w:contextualSpacing w:val="0"/>
              <w:jc w:val="both"/>
              <w:rPr>
                <w:rFonts w:ascii="Verdana" w:hAnsi="Verdana"/>
                <w:sz w:val="20"/>
                <w:szCs w:val="20"/>
                <w:lang w:val="pl-PL"/>
              </w:rPr>
            </w:pPr>
            <w:r w:rsidRPr="003E0144">
              <w:rPr>
                <w:rFonts w:ascii="Verdana" w:hAnsi="Verdana"/>
                <w:sz w:val="20"/>
                <w:szCs w:val="20"/>
                <w:lang w:val="pl-PL"/>
              </w:rPr>
              <w:t>Odbiorca uznaje otrzymane informacje za poufne oraz mające wartość konkurencyjną lub gospodarczą (zgodnie z definicją w Art. 2 Umowy "</w:t>
            </w:r>
            <w:r w:rsidRPr="003E0144">
              <w:rPr>
                <w:rFonts w:ascii="Verdana" w:hAnsi="Verdana"/>
                <w:sz w:val="20"/>
                <w:lang w:val="pl-PL"/>
              </w:rPr>
              <w:t>Informacje Poufne</w:t>
            </w:r>
            <w:r w:rsidRPr="003E0144">
              <w:rPr>
                <w:rFonts w:ascii="Verdana" w:hAnsi="Verdana"/>
                <w:sz w:val="20"/>
                <w:szCs w:val="20"/>
                <w:lang w:val="pl-PL"/>
              </w:rPr>
              <w:t>"), a także mogące wywołać szkody dla ŁUKASIEWICZ – PORT, jeśli informacje te zostaną ujawnione osobom trzecim;</w:t>
            </w:r>
          </w:p>
          <w:p w14:paraId="4E7C06DE" w14:textId="77777777" w:rsidR="00943E13" w:rsidRPr="003E0144" w:rsidRDefault="00943E13" w:rsidP="00AF2CE6">
            <w:pPr>
              <w:pStyle w:val="Akapitzlist"/>
              <w:numPr>
                <w:ilvl w:val="0"/>
                <w:numId w:val="12"/>
              </w:numPr>
              <w:spacing w:after="120" w:line="276" w:lineRule="auto"/>
              <w:ind w:left="746" w:hanging="425"/>
              <w:contextualSpacing w:val="0"/>
              <w:jc w:val="both"/>
              <w:rPr>
                <w:rFonts w:ascii="Verdana" w:hAnsi="Verdana"/>
                <w:sz w:val="20"/>
                <w:szCs w:val="20"/>
                <w:lang w:val="pl-PL"/>
              </w:rPr>
            </w:pPr>
          </w:p>
          <w:p w14:paraId="208F6074" w14:textId="77777777" w:rsidR="00D2501A" w:rsidRPr="003E0144" w:rsidRDefault="00D2501A" w:rsidP="00AF2CE6">
            <w:pPr>
              <w:pStyle w:val="Akapitzlist"/>
              <w:numPr>
                <w:ilvl w:val="0"/>
                <w:numId w:val="12"/>
              </w:numPr>
              <w:spacing w:after="120" w:line="276" w:lineRule="auto"/>
              <w:ind w:left="746" w:hanging="425"/>
              <w:contextualSpacing w:val="0"/>
              <w:jc w:val="both"/>
              <w:rPr>
                <w:rFonts w:ascii="Verdana" w:hAnsi="Verdana"/>
                <w:sz w:val="20"/>
                <w:szCs w:val="20"/>
                <w:lang w:val="pl-PL"/>
              </w:rPr>
            </w:pPr>
            <w:r w:rsidRPr="003E0144">
              <w:rPr>
                <w:rFonts w:ascii="Verdana" w:hAnsi="Verdana"/>
                <w:sz w:val="20"/>
                <w:szCs w:val="20"/>
                <w:lang w:val="pl-PL"/>
              </w:rPr>
              <w:t>Odbiorca uznaje, że otrzymane informacje poufne nie są powszechnie znane osobom trzecim;</w:t>
            </w:r>
          </w:p>
          <w:p w14:paraId="3773FEE9" w14:textId="77777777" w:rsidR="00D2501A" w:rsidRPr="003E0144" w:rsidRDefault="00D2501A" w:rsidP="00AF2CE6">
            <w:pPr>
              <w:pStyle w:val="Akapitzlist"/>
              <w:numPr>
                <w:ilvl w:val="0"/>
                <w:numId w:val="12"/>
              </w:numPr>
              <w:spacing w:after="120" w:line="276" w:lineRule="auto"/>
              <w:ind w:left="746" w:hanging="425"/>
              <w:contextualSpacing w:val="0"/>
              <w:jc w:val="both"/>
              <w:rPr>
                <w:rFonts w:ascii="Verdana" w:hAnsi="Verdana"/>
                <w:sz w:val="20"/>
                <w:szCs w:val="20"/>
                <w:lang w:val="pl-PL"/>
              </w:rPr>
            </w:pPr>
            <w:r w:rsidRPr="003E0144">
              <w:rPr>
                <w:rFonts w:ascii="Verdana" w:hAnsi="Verdana"/>
                <w:sz w:val="20"/>
                <w:szCs w:val="20"/>
                <w:lang w:val="pl-PL"/>
              </w:rPr>
              <w:t>ŁUKASIEWICZ - PORT podjął stosowne działania w celu utrzymania przekazywanych informacji w poufności,</w:t>
            </w:r>
          </w:p>
          <w:p w14:paraId="7806F008" w14:textId="77777777" w:rsidR="00D2501A" w:rsidRPr="003E0144" w:rsidRDefault="00D2501A" w:rsidP="006371E6">
            <w:pPr>
              <w:spacing w:after="120" w:line="276" w:lineRule="auto"/>
              <w:rPr>
                <w:rFonts w:ascii="Verdana" w:hAnsi="Verdana"/>
                <w:b/>
                <w:color w:val="auto"/>
                <w:lang w:val="pl-PL"/>
              </w:rPr>
            </w:pPr>
            <w:r w:rsidRPr="003E0144">
              <w:rPr>
                <w:rFonts w:ascii="Verdana" w:hAnsi="Verdana"/>
                <w:bCs/>
                <w:color w:val="auto"/>
                <w:szCs w:val="20"/>
                <w:lang w:val="pl-PL"/>
              </w:rPr>
              <w:lastRenderedPageBreak/>
              <w:t>STRONY UZGADNIAJĄ, CO NASTĘPUJE:</w:t>
            </w:r>
          </w:p>
        </w:tc>
        <w:tc>
          <w:tcPr>
            <w:tcW w:w="4152" w:type="dxa"/>
          </w:tcPr>
          <w:p w14:paraId="3D33565F" w14:textId="77777777" w:rsidR="00D2501A" w:rsidRPr="003E0144" w:rsidRDefault="000653C6" w:rsidP="006371E6">
            <w:pPr>
              <w:spacing w:after="120" w:line="276" w:lineRule="auto"/>
              <w:jc w:val="center"/>
              <w:rPr>
                <w:rFonts w:ascii="Verdana" w:eastAsia="Verdana" w:hAnsi="Verdana" w:cs="Times New Roman"/>
                <w:bCs/>
                <w:color w:val="auto"/>
                <w:szCs w:val="20"/>
              </w:rPr>
            </w:pPr>
            <w:r w:rsidRPr="003E0144">
              <w:rPr>
                <w:rFonts w:ascii="Verdana" w:eastAsia="Verdana" w:hAnsi="Verdana" w:cs="Times New Roman"/>
                <w:bCs/>
                <w:color w:val="auto"/>
                <w:szCs w:val="20"/>
              </w:rPr>
              <w:lastRenderedPageBreak/>
              <w:t>WHEREAS</w:t>
            </w:r>
          </w:p>
          <w:p w14:paraId="758550E7" w14:textId="6E659157" w:rsidR="000653C6" w:rsidRPr="003E0144" w:rsidRDefault="000653C6" w:rsidP="004C07BC">
            <w:pPr>
              <w:pStyle w:val="Akapitzlist"/>
              <w:numPr>
                <w:ilvl w:val="0"/>
                <w:numId w:val="23"/>
              </w:numPr>
              <w:spacing w:after="120" w:line="276" w:lineRule="auto"/>
              <w:ind w:right="149"/>
              <w:contextualSpacing w:val="0"/>
              <w:jc w:val="both"/>
              <w:rPr>
                <w:rFonts w:ascii="Verdana" w:hAnsi="Verdana"/>
                <w:sz w:val="20"/>
                <w:szCs w:val="20"/>
              </w:rPr>
            </w:pPr>
            <w:r w:rsidRPr="003E0144">
              <w:rPr>
                <w:rFonts w:ascii="Verdana" w:hAnsi="Verdana"/>
                <w:sz w:val="20"/>
                <w:szCs w:val="20"/>
              </w:rPr>
              <w:t xml:space="preserve">The parties declare their willingness to enter into cooperation </w:t>
            </w:r>
            <w:r w:rsidR="00943E13" w:rsidRPr="003E0144">
              <w:rPr>
                <w:rFonts w:ascii="Verdana" w:hAnsi="Verdana"/>
                <w:sz w:val="20"/>
                <w:szCs w:val="20"/>
              </w:rPr>
              <w:t>in the area of</w:t>
            </w:r>
            <w:r w:rsidR="00474729" w:rsidRPr="003E0144">
              <w:rPr>
                <w:rFonts w:ascii="Verdana" w:hAnsi="Verdana"/>
                <w:sz w:val="20"/>
                <w:szCs w:val="20"/>
              </w:rPr>
              <w:t xml:space="preserve"> </w:t>
            </w:r>
            <w:r w:rsidR="00943E13" w:rsidRPr="003E0144">
              <w:rPr>
                <w:rFonts w:ascii="Verdana" w:hAnsi="Verdana"/>
                <w:sz w:val="20"/>
                <w:szCs w:val="20"/>
              </w:rPr>
              <w:t>Preliminary market consultations, the subject of which is advisory services and obtaining information for the preparation of a public procurement procedure entitled: "Execution of construction works aimed at the reconstruction and commissioning of BSL-3 laboratory at Łukasiewicz – PORT</w:t>
            </w:r>
            <w:r w:rsidR="001D5E5D" w:rsidRPr="003E0144">
              <w:rPr>
                <w:rFonts w:ascii="Verdana" w:hAnsi="Verdana"/>
                <w:sz w:val="20"/>
                <w:szCs w:val="20"/>
              </w:rPr>
              <w:t>.</w:t>
            </w:r>
            <w:r w:rsidR="00943E13" w:rsidRPr="003E0144">
              <w:rPr>
                <w:rFonts w:ascii="Verdana" w:hAnsi="Verdana"/>
                <w:sz w:val="20"/>
                <w:szCs w:val="20"/>
              </w:rPr>
              <w:t>”</w:t>
            </w:r>
          </w:p>
          <w:p w14:paraId="167D9852" w14:textId="77777777" w:rsidR="000653C6" w:rsidRPr="003E0144" w:rsidRDefault="000653C6" w:rsidP="00AF2CE6">
            <w:pPr>
              <w:pStyle w:val="Akapitzlist"/>
              <w:numPr>
                <w:ilvl w:val="0"/>
                <w:numId w:val="23"/>
              </w:numPr>
              <w:spacing w:after="120" w:line="276" w:lineRule="auto"/>
              <w:ind w:left="605" w:right="149" w:hanging="284"/>
              <w:contextualSpacing w:val="0"/>
              <w:jc w:val="both"/>
              <w:rPr>
                <w:rFonts w:asciiTheme="minorHAnsi" w:hAnsiTheme="minorHAnsi"/>
                <w:sz w:val="20"/>
                <w:szCs w:val="20"/>
              </w:rPr>
            </w:pPr>
            <w:r w:rsidRPr="003E0144">
              <w:rPr>
                <w:rFonts w:asciiTheme="minorHAnsi" w:hAnsiTheme="minorHAnsi"/>
                <w:sz w:val="20"/>
                <w:szCs w:val="20"/>
              </w:rPr>
              <w:t xml:space="preserve">In relation to the aforementioned cooperation, the Receiving Party may obtain certain information from ŁUKASIEWICZ-PORT which it considers confidential; </w:t>
            </w:r>
          </w:p>
          <w:p w14:paraId="6B493291" w14:textId="77777777" w:rsidR="000653C6" w:rsidRPr="003E0144" w:rsidRDefault="000653C6" w:rsidP="00AF2CE6">
            <w:pPr>
              <w:pStyle w:val="Akapitzlist"/>
              <w:numPr>
                <w:ilvl w:val="0"/>
                <w:numId w:val="23"/>
              </w:numPr>
              <w:spacing w:after="120" w:line="276" w:lineRule="auto"/>
              <w:ind w:left="605" w:right="149" w:hanging="284"/>
              <w:contextualSpacing w:val="0"/>
              <w:jc w:val="both"/>
              <w:rPr>
                <w:rFonts w:asciiTheme="minorHAnsi" w:hAnsiTheme="minorHAnsi"/>
                <w:sz w:val="20"/>
                <w:szCs w:val="20"/>
              </w:rPr>
            </w:pPr>
            <w:r w:rsidRPr="003E0144">
              <w:rPr>
                <w:rFonts w:asciiTheme="minorHAnsi" w:hAnsiTheme="minorHAnsi"/>
                <w:sz w:val="20"/>
                <w:szCs w:val="20"/>
              </w:rPr>
              <w:t>The Receiving Party shall consider any such information it receives to be confidential and having competitive or business value (as defined under the Agreement’s Article 2 “Confidential Information”), and having the potential to cause damage to the ŁUKASIEWICZ-PORT if disclosed to any third party;</w:t>
            </w:r>
          </w:p>
          <w:p w14:paraId="7225C807" w14:textId="77777777" w:rsidR="000653C6" w:rsidRPr="003E0144" w:rsidRDefault="000653C6" w:rsidP="00AF2CE6">
            <w:pPr>
              <w:pStyle w:val="Akapitzlist"/>
              <w:numPr>
                <w:ilvl w:val="0"/>
                <w:numId w:val="23"/>
              </w:numPr>
              <w:spacing w:after="120" w:line="276" w:lineRule="auto"/>
              <w:ind w:left="605" w:right="149" w:hanging="284"/>
              <w:contextualSpacing w:val="0"/>
              <w:jc w:val="both"/>
              <w:rPr>
                <w:rFonts w:asciiTheme="minorHAnsi" w:hAnsiTheme="minorHAnsi"/>
                <w:sz w:val="20"/>
                <w:szCs w:val="20"/>
              </w:rPr>
            </w:pPr>
            <w:r w:rsidRPr="003E0144">
              <w:rPr>
                <w:rFonts w:asciiTheme="minorHAnsi" w:hAnsiTheme="minorHAnsi"/>
                <w:sz w:val="20"/>
                <w:szCs w:val="20"/>
              </w:rPr>
              <w:t xml:space="preserve">The Receiving Party acknowledges that such information is not part of general knowledge available to third parties; </w:t>
            </w:r>
          </w:p>
          <w:p w14:paraId="2E77AF5A" w14:textId="77777777" w:rsidR="000653C6" w:rsidRPr="003E0144" w:rsidRDefault="000653C6" w:rsidP="00AF2CE6">
            <w:pPr>
              <w:pStyle w:val="Akapitzlist"/>
              <w:numPr>
                <w:ilvl w:val="0"/>
                <w:numId w:val="23"/>
              </w:numPr>
              <w:spacing w:after="120" w:line="276" w:lineRule="auto"/>
              <w:ind w:left="605" w:right="149" w:hanging="284"/>
              <w:contextualSpacing w:val="0"/>
              <w:jc w:val="both"/>
              <w:rPr>
                <w:rFonts w:asciiTheme="minorHAnsi" w:hAnsiTheme="minorHAnsi"/>
                <w:sz w:val="20"/>
                <w:szCs w:val="20"/>
              </w:rPr>
            </w:pPr>
            <w:r w:rsidRPr="003E0144">
              <w:rPr>
                <w:rFonts w:asciiTheme="minorHAnsi" w:hAnsiTheme="minorHAnsi"/>
                <w:sz w:val="20"/>
                <w:szCs w:val="20"/>
              </w:rPr>
              <w:t xml:space="preserve">ŁUKASIEWICZ-PORT has taken the necessary steps to </w:t>
            </w:r>
            <w:r w:rsidRPr="003E0144">
              <w:rPr>
                <w:rFonts w:asciiTheme="minorHAnsi" w:hAnsiTheme="minorHAnsi"/>
                <w:sz w:val="20"/>
                <w:szCs w:val="20"/>
              </w:rPr>
              <w:lastRenderedPageBreak/>
              <w:t>keep confidential any received information,</w:t>
            </w:r>
          </w:p>
          <w:p w14:paraId="408EDE72" w14:textId="77777777" w:rsidR="000653C6" w:rsidRPr="003E0144" w:rsidRDefault="000653C6" w:rsidP="006371E6">
            <w:pPr>
              <w:spacing w:after="120" w:line="276" w:lineRule="auto"/>
              <w:rPr>
                <w:b/>
                <w:color w:val="auto"/>
                <w:szCs w:val="20"/>
              </w:rPr>
            </w:pPr>
            <w:r w:rsidRPr="003E0144">
              <w:rPr>
                <w:bCs/>
                <w:color w:val="auto"/>
                <w:szCs w:val="20"/>
              </w:rPr>
              <w:t>NOW, THEREFORE, THE PARTIES HAVE AGREED AS FOLLOWS:</w:t>
            </w:r>
          </w:p>
        </w:tc>
      </w:tr>
      <w:tr w:rsidR="00D2501A" w:rsidRPr="00800578" w14:paraId="4D9A93EF" w14:textId="77777777" w:rsidTr="007D510B">
        <w:tc>
          <w:tcPr>
            <w:tcW w:w="4151" w:type="dxa"/>
          </w:tcPr>
          <w:p w14:paraId="31F5D6A0" w14:textId="77777777" w:rsidR="00D2501A" w:rsidRPr="00800578" w:rsidRDefault="00D2501A" w:rsidP="006371E6">
            <w:pPr>
              <w:spacing w:after="120" w:line="276" w:lineRule="auto"/>
              <w:jc w:val="center"/>
              <w:rPr>
                <w:rFonts w:ascii="Verdana" w:hAnsi="Verdana"/>
                <w:b/>
                <w:lang w:val="pl-PL"/>
              </w:rPr>
            </w:pPr>
            <w:r w:rsidRPr="00800578">
              <w:rPr>
                <w:rFonts w:ascii="Verdana" w:hAnsi="Verdana"/>
                <w:b/>
                <w:color w:val="auto"/>
                <w:szCs w:val="20"/>
                <w:lang w:val="pl-PL"/>
              </w:rPr>
              <w:lastRenderedPageBreak/>
              <w:t>ARTYKUŁ 1 – CEL</w:t>
            </w:r>
          </w:p>
        </w:tc>
        <w:tc>
          <w:tcPr>
            <w:tcW w:w="4152" w:type="dxa"/>
          </w:tcPr>
          <w:p w14:paraId="3F377544" w14:textId="77777777" w:rsidR="00D2501A" w:rsidRPr="00800578" w:rsidRDefault="000653C6" w:rsidP="006371E6">
            <w:pPr>
              <w:spacing w:after="120" w:line="276" w:lineRule="auto"/>
              <w:jc w:val="center"/>
              <w:rPr>
                <w:b/>
                <w:color w:val="auto"/>
                <w:szCs w:val="20"/>
              </w:rPr>
            </w:pPr>
            <w:r w:rsidRPr="00800578">
              <w:rPr>
                <w:b/>
                <w:color w:val="auto"/>
                <w:szCs w:val="20"/>
              </w:rPr>
              <w:t>ARTICLE 1 – OBJECTIVE</w:t>
            </w:r>
          </w:p>
        </w:tc>
      </w:tr>
      <w:tr w:rsidR="00D2501A" w:rsidRPr="00800578" w14:paraId="102AA407" w14:textId="77777777" w:rsidTr="007D510B">
        <w:tc>
          <w:tcPr>
            <w:tcW w:w="4151" w:type="dxa"/>
          </w:tcPr>
          <w:p w14:paraId="3E2A16AF" w14:textId="21E05D3C" w:rsidR="00D2501A" w:rsidRPr="003E0144" w:rsidRDefault="00D2501A" w:rsidP="006371E6">
            <w:pPr>
              <w:spacing w:after="120" w:line="276" w:lineRule="auto"/>
              <w:rPr>
                <w:rFonts w:ascii="Verdana" w:hAnsi="Verdana"/>
                <w:color w:val="auto"/>
                <w:szCs w:val="20"/>
                <w:lang w:val="pl-PL"/>
              </w:rPr>
            </w:pPr>
            <w:r w:rsidRPr="003E0144">
              <w:rPr>
                <w:rFonts w:ascii="Verdana" w:hAnsi="Verdana"/>
                <w:szCs w:val="20"/>
                <w:lang w:val="pl-PL"/>
              </w:rPr>
              <w:t xml:space="preserve">1. Niniejsza umowa o zachowaniu poufności określa zasady i warunki regulujące ujawnienie, wykorzystanie i ochronę Informacji Poufnych w rozumieniu Artykułu 2 Umowy, ujawnionych przez ŁUKASIEWICZ – PORT Odbiorcy. </w:t>
            </w:r>
            <w:r w:rsidRPr="003E0144">
              <w:rPr>
                <w:rFonts w:ascii="Verdana" w:hAnsi="Verdana" w:cs="Calibri Light"/>
                <w:szCs w:val="20"/>
                <w:lang w:val="pl-PL"/>
              </w:rPr>
              <w:t xml:space="preserve">Ujawnienie informacji następuje w celu </w:t>
            </w:r>
            <w:r w:rsidR="00134895" w:rsidRPr="003E0144">
              <w:rPr>
                <w:rFonts w:ascii="Verdana" w:hAnsi="Verdana" w:cs="Calibri Light"/>
                <w:szCs w:val="20"/>
                <w:lang w:val="pl-PL"/>
              </w:rPr>
              <w:t xml:space="preserve">przeprowadzenia z Odbiorcą </w:t>
            </w:r>
            <w:r w:rsidR="00134895" w:rsidRPr="003E0144">
              <w:rPr>
                <w:rFonts w:ascii="Verdana" w:hAnsi="Verdana"/>
                <w:szCs w:val="20"/>
                <w:lang w:val="pl-PL"/>
              </w:rPr>
              <w:t xml:space="preserve">Wstępnych konsultacji rynkowych w zakresie doradztwa i pozyskania informacji, służących do przygotowania postępowania o zamówienie publiczne pn.: „Wykonanie robót budowlanych mających na celu przebudowę i uruchomienie laboratorium BSL-3 w Łukasiewicz – PORT” </w:t>
            </w:r>
            <w:r w:rsidRPr="003E0144">
              <w:rPr>
                <w:rFonts w:ascii="Verdana" w:hAnsi="Verdana" w:cs="Calibri Light"/>
                <w:szCs w:val="20"/>
                <w:lang w:val="pl-PL"/>
              </w:rPr>
              <w:t>(</w:t>
            </w:r>
            <w:r w:rsidR="00C912BE" w:rsidRPr="003E0144">
              <w:rPr>
                <w:rFonts w:ascii="Verdana" w:hAnsi="Verdana" w:cs="Calibri Light"/>
                <w:szCs w:val="20"/>
                <w:lang w:val="pl-PL"/>
              </w:rPr>
              <w:t>zwan</w:t>
            </w:r>
            <w:r w:rsidR="00134895" w:rsidRPr="003E0144">
              <w:rPr>
                <w:rFonts w:ascii="Verdana" w:hAnsi="Verdana" w:cs="Calibri Light"/>
                <w:szCs w:val="20"/>
                <w:lang w:val="pl-PL"/>
              </w:rPr>
              <w:t>ych</w:t>
            </w:r>
            <w:r w:rsidR="00C912BE" w:rsidRPr="003E0144">
              <w:rPr>
                <w:rFonts w:ascii="Verdana" w:hAnsi="Verdana" w:cs="Calibri Light"/>
                <w:szCs w:val="20"/>
                <w:lang w:val="pl-PL"/>
              </w:rPr>
              <w:t xml:space="preserve"> </w:t>
            </w:r>
            <w:r w:rsidRPr="003E0144">
              <w:rPr>
                <w:rFonts w:ascii="Verdana" w:hAnsi="Verdana" w:cs="Calibri Light"/>
                <w:szCs w:val="20"/>
                <w:lang w:val="pl-PL"/>
              </w:rPr>
              <w:t>dalej "</w:t>
            </w:r>
            <w:r w:rsidR="00134895" w:rsidRPr="003E0144">
              <w:rPr>
                <w:rFonts w:ascii="Verdana" w:hAnsi="Verdana" w:cs="Calibri Light"/>
                <w:b/>
                <w:szCs w:val="20"/>
                <w:lang w:val="pl-PL"/>
              </w:rPr>
              <w:t>Konsultacjami</w:t>
            </w:r>
            <w:r w:rsidRPr="003E0144">
              <w:rPr>
                <w:rFonts w:ascii="Verdana" w:hAnsi="Verdana" w:cs="Calibri Light"/>
                <w:szCs w:val="20"/>
                <w:lang w:val="pl-PL"/>
              </w:rPr>
              <w:t>").</w:t>
            </w:r>
          </w:p>
        </w:tc>
        <w:tc>
          <w:tcPr>
            <w:tcW w:w="4152" w:type="dxa"/>
          </w:tcPr>
          <w:p w14:paraId="6FB50FC3" w14:textId="3AEBA186" w:rsidR="00D2501A" w:rsidRPr="003E0144" w:rsidRDefault="000653C6" w:rsidP="00943E13">
            <w:pPr>
              <w:pStyle w:val="Listapunktowana"/>
            </w:pPr>
            <w:r w:rsidRPr="003E0144">
              <w:t>1. This Non-Disclosure Agreement sets out the terms and conditions governing the disclosure, use and protection of Confidential Information, as defined under Article 2 hereof, as might be disclosed by ŁUKASIEWICZ</w:t>
            </w:r>
            <w:r w:rsidR="008E0205" w:rsidRPr="003E0144">
              <w:t xml:space="preserve"> – </w:t>
            </w:r>
            <w:r w:rsidRPr="003E0144">
              <w:t>PORT to the Receiving Party. Any disclosure shall be for the purposes of</w:t>
            </w:r>
            <w:r w:rsidR="006906D0" w:rsidRPr="003E0144">
              <w:t xml:space="preserve"> </w:t>
            </w:r>
            <w:r w:rsidR="00943E13" w:rsidRPr="003E0144">
              <w:t>conducting with the Receiving Party Preliminary market consultations, the subject of which is advisory services and obtaining information for the preparation of a public procurement procedure entitled: "Execution of construction works aimed at the reconstruction and commissioning of BSL-3 laboratory at Łukasiewicz – PORT”</w:t>
            </w:r>
            <w:r w:rsidR="000C68CF" w:rsidRPr="003E0144">
              <w:t xml:space="preserve"> </w:t>
            </w:r>
            <w:r w:rsidRPr="003E0144">
              <w:t xml:space="preserve">(hereinafter </w:t>
            </w:r>
            <w:r w:rsidRPr="003E0144">
              <w:rPr>
                <w:bCs/>
              </w:rPr>
              <w:t xml:space="preserve">“the </w:t>
            </w:r>
            <w:r w:rsidR="00943E13" w:rsidRPr="003E0144">
              <w:rPr>
                <w:b/>
              </w:rPr>
              <w:t>Consultations</w:t>
            </w:r>
            <w:r w:rsidRPr="003E0144">
              <w:rPr>
                <w:bCs/>
              </w:rPr>
              <w:t>”</w:t>
            </w:r>
            <w:r w:rsidRPr="003E0144">
              <w:t>).</w:t>
            </w:r>
          </w:p>
        </w:tc>
      </w:tr>
      <w:tr w:rsidR="00D2501A" w:rsidRPr="00800578" w14:paraId="6D96AA1E" w14:textId="77777777" w:rsidTr="007D510B">
        <w:tc>
          <w:tcPr>
            <w:tcW w:w="4151" w:type="dxa"/>
          </w:tcPr>
          <w:p w14:paraId="4EE36181" w14:textId="09286244" w:rsidR="00D2501A" w:rsidRPr="00800578" w:rsidRDefault="00D2501A" w:rsidP="006371E6">
            <w:pPr>
              <w:spacing w:after="120" w:line="276" w:lineRule="auto"/>
              <w:rPr>
                <w:b/>
                <w:color w:val="auto"/>
                <w:szCs w:val="20"/>
                <w:lang w:val="pl-PL"/>
              </w:rPr>
            </w:pPr>
            <w:r w:rsidRPr="00800578">
              <w:rPr>
                <w:rFonts w:ascii="Verdana" w:eastAsia="Verdana" w:hAnsi="Verdana" w:cs="Times New Roman"/>
                <w:color w:val="000000"/>
                <w:szCs w:val="20"/>
                <w:lang w:val="pl-PL"/>
              </w:rPr>
              <w:t xml:space="preserve">2. W ramach Umowy ŁUKASIEWICZ – PORT przekazuje Odbiorcy tylko Informacje Poufne, które uzna za niezbędne do realizacji </w:t>
            </w:r>
            <w:r w:rsidR="00134895">
              <w:rPr>
                <w:rFonts w:ascii="Verdana" w:eastAsia="Verdana" w:hAnsi="Verdana" w:cs="Times New Roman"/>
                <w:color w:val="000000"/>
                <w:szCs w:val="20"/>
                <w:lang w:val="pl-PL"/>
              </w:rPr>
              <w:t>Konsultacji</w:t>
            </w:r>
            <w:r w:rsidRPr="00800578">
              <w:rPr>
                <w:rFonts w:ascii="Verdana" w:eastAsia="Verdana" w:hAnsi="Verdana" w:cs="Times New Roman"/>
                <w:color w:val="000000"/>
                <w:szCs w:val="20"/>
                <w:lang w:val="pl-PL"/>
              </w:rPr>
              <w:t>, który może korzystać z tych Informacji Poufnych wyłącznie w związku z </w:t>
            </w:r>
            <w:r w:rsidR="00134895">
              <w:rPr>
                <w:rFonts w:ascii="Verdana" w:eastAsia="Verdana" w:hAnsi="Verdana" w:cs="Times New Roman"/>
                <w:color w:val="000000"/>
                <w:szCs w:val="20"/>
                <w:lang w:val="pl-PL"/>
              </w:rPr>
              <w:t>Konsultacjami</w:t>
            </w:r>
            <w:r w:rsidRPr="00800578">
              <w:rPr>
                <w:rFonts w:ascii="Verdana" w:eastAsia="Verdana" w:hAnsi="Verdana" w:cs="Times New Roman"/>
                <w:color w:val="000000"/>
                <w:szCs w:val="20"/>
                <w:lang w:val="pl-PL"/>
              </w:rPr>
              <w:t>.</w:t>
            </w:r>
          </w:p>
        </w:tc>
        <w:tc>
          <w:tcPr>
            <w:tcW w:w="4152" w:type="dxa"/>
          </w:tcPr>
          <w:p w14:paraId="04207E37" w14:textId="77319D8B" w:rsidR="00D2501A" w:rsidRPr="00800578" w:rsidRDefault="000653C6" w:rsidP="006371E6">
            <w:pPr>
              <w:spacing w:after="120" w:line="276" w:lineRule="auto"/>
              <w:rPr>
                <w:color w:val="auto"/>
                <w:szCs w:val="20"/>
              </w:rPr>
            </w:pPr>
            <w:r w:rsidRPr="00800578">
              <w:rPr>
                <w:color w:val="auto"/>
                <w:szCs w:val="20"/>
              </w:rPr>
              <w:t xml:space="preserve">2. Under this Agreement, ŁUKASIEWICZ-PORT shall only disclose to the Receiving Party the Confidential Information it considers necessary for the purposes of the </w:t>
            </w:r>
            <w:r w:rsidR="005D01A8">
              <w:rPr>
                <w:color w:val="auto"/>
                <w:szCs w:val="20"/>
              </w:rPr>
              <w:t>Consultations</w:t>
            </w:r>
            <w:r w:rsidRPr="00800578">
              <w:rPr>
                <w:color w:val="auto"/>
                <w:szCs w:val="20"/>
              </w:rPr>
              <w:t xml:space="preserve">, whereas the Receiving Party may only use the Confidential Information in connection with the </w:t>
            </w:r>
            <w:r w:rsidR="005D01A8">
              <w:rPr>
                <w:color w:val="auto"/>
                <w:szCs w:val="20"/>
              </w:rPr>
              <w:t>Consultations</w:t>
            </w:r>
            <w:r w:rsidRPr="00800578">
              <w:rPr>
                <w:color w:val="auto"/>
                <w:szCs w:val="20"/>
              </w:rPr>
              <w:t>.</w:t>
            </w:r>
          </w:p>
        </w:tc>
      </w:tr>
      <w:tr w:rsidR="00D2501A" w:rsidRPr="00800578" w14:paraId="1FD174CC" w14:textId="77777777" w:rsidTr="007D510B">
        <w:tc>
          <w:tcPr>
            <w:tcW w:w="4151" w:type="dxa"/>
          </w:tcPr>
          <w:p w14:paraId="48092C32" w14:textId="77777777" w:rsidR="00D2501A" w:rsidRPr="00800578" w:rsidRDefault="00D2501A" w:rsidP="006371E6">
            <w:pPr>
              <w:spacing w:after="120" w:line="276" w:lineRule="auto"/>
              <w:rPr>
                <w:b/>
                <w:color w:val="auto"/>
                <w:szCs w:val="20"/>
                <w:lang w:val="pl-PL"/>
              </w:rPr>
            </w:pPr>
            <w:r w:rsidRPr="00800578">
              <w:rPr>
                <w:rFonts w:ascii="Verdana" w:eastAsia="Verdana" w:hAnsi="Verdana" w:cs="Times New Roman"/>
                <w:color w:val="000000"/>
                <w:szCs w:val="20"/>
                <w:lang w:val="pl-PL"/>
              </w:rPr>
              <w:t xml:space="preserve">3. Celem Umowy nie jest nakłanianie którejkolwiek ze Stron do ujawnienia poufnych informacji lub tworzenie joint-venture, stowarzyszenia, spółki, zawieranie umowy współpracy lub innych formalnych organizacji </w:t>
            </w:r>
            <w:r w:rsidRPr="00800578">
              <w:rPr>
                <w:rFonts w:ascii="Verdana" w:eastAsia="Verdana" w:hAnsi="Verdana" w:cs="Times New Roman"/>
                <w:color w:val="000000"/>
                <w:szCs w:val="20"/>
                <w:lang w:val="pl-PL"/>
              </w:rPr>
              <w:lastRenderedPageBreak/>
              <w:t>biznesowych lub nawiązywanie stosunku agencyjnego. Ujawnienie Informacji Poufnych na mocy Umowy nie stanowi oferty ani przyjęcia lub obietnicy jakichkolwiek przyszłych umów lub wprowadzenia zmian do już istniejących umów.</w:t>
            </w:r>
          </w:p>
        </w:tc>
        <w:tc>
          <w:tcPr>
            <w:tcW w:w="4152" w:type="dxa"/>
          </w:tcPr>
          <w:p w14:paraId="22F15833" w14:textId="77777777" w:rsidR="00D2501A" w:rsidRPr="00800578" w:rsidRDefault="000653C6" w:rsidP="006371E6">
            <w:pPr>
              <w:spacing w:after="120" w:line="276" w:lineRule="auto"/>
              <w:rPr>
                <w:color w:val="auto"/>
                <w:szCs w:val="20"/>
              </w:rPr>
            </w:pPr>
            <w:r w:rsidRPr="00800578">
              <w:rPr>
                <w:color w:val="auto"/>
                <w:szCs w:val="20"/>
              </w:rPr>
              <w:lastRenderedPageBreak/>
              <w:t xml:space="preserve">3. The purpose of this Agreement is not to induce any of the Parties to disclose any Confidential Information or to establish any joint venture, association or company, or enter into any partnership agreement or other </w:t>
            </w:r>
            <w:r w:rsidRPr="00800578">
              <w:rPr>
                <w:color w:val="auto"/>
                <w:szCs w:val="20"/>
              </w:rPr>
              <w:lastRenderedPageBreak/>
              <w:t>formal business organisation or agency. The disclosure of Confidential Information under this Agreement shall not constitute the proposal or acceptance or promise of any future agreement or amendment to any existing agreement.</w:t>
            </w:r>
          </w:p>
        </w:tc>
      </w:tr>
      <w:tr w:rsidR="00D2501A" w:rsidRPr="00800578" w14:paraId="4BF5672D" w14:textId="77777777" w:rsidTr="007D510B">
        <w:tc>
          <w:tcPr>
            <w:tcW w:w="4151" w:type="dxa"/>
          </w:tcPr>
          <w:p w14:paraId="417A6889" w14:textId="77777777" w:rsidR="00D2501A" w:rsidRPr="00800578" w:rsidRDefault="00D2501A" w:rsidP="006371E6">
            <w:pPr>
              <w:spacing w:after="120" w:line="276" w:lineRule="auto"/>
              <w:jc w:val="center"/>
              <w:rPr>
                <w:b/>
                <w:color w:val="auto"/>
                <w:szCs w:val="20"/>
                <w:lang w:val="pl-PL"/>
              </w:rPr>
            </w:pPr>
            <w:r w:rsidRPr="00800578">
              <w:rPr>
                <w:rFonts w:ascii="Verdana" w:hAnsi="Verdana"/>
                <w:b/>
                <w:color w:val="auto"/>
                <w:szCs w:val="20"/>
                <w:lang w:val="pl-PL"/>
              </w:rPr>
              <w:lastRenderedPageBreak/>
              <w:t>ARTYKUŁ 2 – INFORMACJE POUFNE</w:t>
            </w:r>
          </w:p>
        </w:tc>
        <w:tc>
          <w:tcPr>
            <w:tcW w:w="4152" w:type="dxa"/>
          </w:tcPr>
          <w:p w14:paraId="100932FA" w14:textId="77777777" w:rsidR="00D2501A" w:rsidRPr="00800578" w:rsidRDefault="000653C6" w:rsidP="006371E6">
            <w:pPr>
              <w:spacing w:after="120" w:line="276" w:lineRule="auto"/>
              <w:jc w:val="center"/>
              <w:rPr>
                <w:color w:val="auto"/>
                <w:szCs w:val="20"/>
              </w:rPr>
            </w:pPr>
            <w:r w:rsidRPr="00800578">
              <w:rPr>
                <w:b/>
                <w:color w:val="auto"/>
                <w:szCs w:val="20"/>
              </w:rPr>
              <w:t>ARTICLE 2 – CONFIDENTIAL INFORMATION</w:t>
            </w:r>
          </w:p>
        </w:tc>
      </w:tr>
      <w:tr w:rsidR="00D2501A" w:rsidRPr="00800578" w14:paraId="4596342E" w14:textId="77777777" w:rsidTr="007D510B">
        <w:tc>
          <w:tcPr>
            <w:tcW w:w="4151" w:type="dxa"/>
          </w:tcPr>
          <w:p w14:paraId="208418B1" w14:textId="4575DC0D" w:rsidR="00D2501A" w:rsidRPr="00800578" w:rsidRDefault="00D2501A" w:rsidP="006371E6">
            <w:pPr>
              <w:spacing w:after="120" w:line="276" w:lineRule="auto"/>
              <w:rPr>
                <w:b/>
                <w:color w:val="auto"/>
                <w:szCs w:val="20"/>
                <w:lang w:val="pl-PL"/>
              </w:rPr>
            </w:pPr>
            <w:r w:rsidRPr="00800578">
              <w:rPr>
                <w:rFonts w:ascii="Verdana" w:eastAsia="Verdana" w:hAnsi="Verdana" w:cs="Times New Roman"/>
                <w:color w:val="000000"/>
                <w:szCs w:val="20"/>
                <w:lang w:val="pl-PL"/>
              </w:rPr>
              <w:t xml:space="preserve">1. Informacje Poufne oznaczają wszelkie informacje lub dane </w:t>
            </w:r>
            <w:r w:rsidRPr="00D34C11">
              <w:rPr>
                <w:rFonts w:ascii="Verdana" w:eastAsia="Verdana" w:hAnsi="Verdana" w:cs="Times New Roman"/>
                <w:color w:val="000000"/>
                <w:szCs w:val="20"/>
                <w:lang w:val="pl-PL"/>
              </w:rPr>
              <w:t xml:space="preserve">(dotyczące </w:t>
            </w:r>
            <w:r w:rsidR="00134895">
              <w:rPr>
                <w:rFonts w:ascii="Verdana" w:eastAsia="Verdana" w:hAnsi="Verdana" w:cs="Times New Roman"/>
                <w:color w:val="000000"/>
                <w:szCs w:val="20"/>
                <w:lang w:val="pl-PL"/>
              </w:rPr>
              <w:t>Konsultacji</w:t>
            </w:r>
            <w:r w:rsidRPr="00D34C11">
              <w:rPr>
                <w:rFonts w:ascii="Verdana" w:eastAsia="Verdana" w:hAnsi="Verdana" w:cs="Times New Roman"/>
                <w:color w:val="000000"/>
                <w:szCs w:val="20"/>
                <w:lang w:val="pl-PL"/>
              </w:rPr>
              <w:t>)</w:t>
            </w:r>
            <w:r w:rsidRPr="00800578">
              <w:rPr>
                <w:rFonts w:ascii="Verdana" w:eastAsia="Verdana" w:hAnsi="Verdana" w:cs="Times New Roman"/>
                <w:color w:val="000000"/>
                <w:szCs w:val="20"/>
                <w:lang w:val="pl-PL"/>
              </w:rPr>
              <w:t xml:space="preserve"> ujawnione przez ŁUKASIEWICZ – PORT Odbiorcy, niezależnie od postaci i formy ujawnienia, w tym, ale nie wyłącznie, informacje dotyczące obecnych lub przyszłych produktów, projektów, możliwości biznesowych, know-how, technologii, klientów, pracowników, źródeł produktów, umów, badań i rozwoju, procesów produkcyjnych i planów, danych marketingowych i finansowych oraz innych poufnych informacji ujawnianych na piśmie, ustnie, elektronicznie lub w jakikolwiek inny sposób Odbiorcy przez ŁUKASIEWICZ – PORT lub przez Stronę trzecią w imieniu ŁUKASIEWICZ – PORT</w:t>
            </w:r>
            <w:r w:rsidR="009738C3" w:rsidRPr="00800578">
              <w:rPr>
                <w:rFonts w:ascii="Verdana" w:eastAsia="Verdana" w:hAnsi="Verdana" w:cs="Times New Roman"/>
                <w:color w:val="000000"/>
                <w:szCs w:val="20"/>
                <w:lang w:val="pl-PL"/>
              </w:rPr>
              <w:t xml:space="preserve">, </w:t>
            </w:r>
            <w:r w:rsidRPr="00800578">
              <w:rPr>
                <w:rFonts w:ascii="Verdana" w:eastAsia="Verdana" w:hAnsi="Verdana" w:cs="Times New Roman"/>
                <w:color w:val="000000"/>
                <w:szCs w:val="20"/>
                <w:lang w:val="pl-PL"/>
              </w:rPr>
              <w:t>niezależnie od tego, czy zostały ujawnione przed, czy po dacie zawarcia Umowy.</w:t>
            </w:r>
          </w:p>
        </w:tc>
        <w:tc>
          <w:tcPr>
            <w:tcW w:w="4152" w:type="dxa"/>
          </w:tcPr>
          <w:p w14:paraId="06B414FF" w14:textId="5587B09E" w:rsidR="00D2501A" w:rsidRPr="00800578" w:rsidRDefault="000653C6" w:rsidP="006371E6">
            <w:pPr>
              <w:spacing w:after="120" w:line="276" w:lineRule="auto"/>
              <w:rPr>
                <w:b/>
                <w:color w:val="auto"/>
                <w:szCs w:val="20"/>
              </w:rPr>
            </w:pPr>
            <w:r w:rsidRPr="00800578">
              <w:rPr>
                <w:rFonts w:ascii="Verdana" w:eastAsia="Verdana" w:hAnsi="Verdana" w:cs="Times New Roman"/>
                <w:color w:val="000000"/>
                <w:szCs w:val="20"/>
              </w:rPr>
              <w:t xml:space="preserve">1. Confidential Information shall mean any information or data (regarding the </w:t>
            </w:r>
            <w:r w:rsidR="005D01A8">
              <w:rPr>
                <w:rFonts w:ascii="Verdana" w:eastAsia="Verdana" w:hAnsi="Verdana" w:cs="Times New Roman"/>
                <w:color w:val="000000"/>
                <w:szCs w:val="20"/>
              </w:rPr>
              <w:t>Consultations</w:t>
            </w:r>
            <w:r w:rsidRPr="00800578">
              <w:rPr>
                <w:rFonts w:ascii="Verdana" w:eastAsia="Verdana" w:hAnsi="Verdana" w:cs="Times New Roman"/>
                <w:color w:val="000000"/>
                <w:szCs w:val="20"/>
              </w:rPr>
              <w:t xml:space="preserve">) which might be disclosed by ŁUKASIEWICZ-PORT to the Receiving Party, regardless of the means and form of disclosure, including, but not limited to, any information about existing or future products, projects, business opportunities, know-how, technology, clients, employees, product sources, contracts, R&amp;D, manufacturing plans and processes, marketing and financial data, and any other confidential information, whether disclosed in writing, personally, by electronic means or otherwise to the Receiving Party by ŁUKASIEWICZ-PORT, or by any third party acting on behalf </w:t>
            </w:r>
            <w:r w:rsidR="0090421A" w:rsidRPr="00800578">
              <w:rPr>
                <w:rFonts w:ascii="Verdana" w:eastAsia="Verdana" w:hAnsi="Verdana" w:cs="Times New Roman"/>
                <w:color w:val="000000"/>
                <w:szCs w:val="20"/>
              </w:rPr>
              <w:t xml:space="preserve">of </w:t>
            </w:r>
            <w:r w:rsidRPr="00800578">
              <w:rPr>
                <w:rFonts w:ascii="Verdana" w:eastAsia="Verdana" w:hAnsi="Verdana" w:cs="Times New Roman"/>
                <w:color w:val="000000"/>
                <w:szCs w:val="20"/>
              </w:rPr>
              <w:t>ŁUKASIEWICZ-PORT, irrespective whether disclosed prior to, or following, the date of this Agreement.</w:t>
            </w:r>
          </w:p>
        </w:tc>
      </w:tr>
      <w:tr w:rsidR="00D2501A" w:rsidRPr="00800578" w14:paraId="6F2F2A97" w14:textId="77777777" w:rsidTr="007D510B">
        <w:tc>
          <w:tcPr>
            <w:tcW w:w="4151" w:type="dxa"/>
          </w:tcPr>
          <w:p w14:paraId="2E5CB5BC" w14:textId="77777777" w:rsidR="00D2501A" w:rsidRPr="00800578" w:rsidRDefault="00D2501A" w:rsidP="006371E6">
            <w:pPr>
              <w:spacing w:after="120" w:line="276" w:lineRule="auto"/>
              <w:rPr>
                <w:rFonts w:ascii="Verdana" w:eastAsia="Times New Roman" w:hAnsi="Verdana" w:cs="Calibri Light"/>
                <w:color w:val="auto"/>
                <w:spacing w:val="0"/>
                <w:szCs w:val="20"/>
                <w:lang w:val="pl-PL" w:eastAsia="pl-PL"/>
              </w:rPr>
            </w:pPr>
            <w:r w:rsidRPr="00800578">
              <w:rPr>
                <w:rFonts w:ascii="Verdana" w:eastAsia="Times New Roman" w:hAnsi="Verdana" w:cs="Calibri Light"/>
                <w:color w:val="auto"/>
                <w:spacing w:val="0"/>
                <w:szCs w:val="20"/>
                <w:lang w:val="pl-PL" w:eastAsia="pl-PL"/>
              </w:rPr>
              <w:t xml:space="preserve">2. Zachowania poufności wymagają również wszelkie dokumenty i informacje utworzone na podstawie Informacji Poufnych. </w:t>
            </w:r>
          </w:p>
        </w:tc>
        <w:tc>
          <w:tcPr>
            <w:tcW w:w="4152" w:type="dxa"/>
          </w:tcPr>
          <w:p w14:paraId="35B4ABCA" w14:textId="77777777" w:rsidR="00D2501A" w:rsidRPr="00800578" w:rsidRDefault="000653C6" w:rsidP="006371E6">
            <w:pPr>
              <w:spacing w:after="120" w:line="276" w:lineRule="auto"/>
              <w:rPr>
                <w:color w:val="auto"/>
                <w:szCs w:val="20"/>
              </w:rPr>
            </w:pPr>
            <w:r w:rsidRPr="00800578">
              <w:rPr>
                <w:color w:val="auto"/>
                <w:szCs w:val="20"/>
              </w:rPr>
              <w:t>2. This confidentiality obligation shall also apply to any documents and information produced on the basis of Confidential Information.</w:t>
            </w:r>
          </w:p>
        </w:tc>
      </w:tr>
      <w:tr w:rsidR="00D2501A" w:rsidRPr="00800578" w14:paraId="7F96E5A9" w14:textId="77777777" w:rsidTr="007D510B">
        <w:tc>
          <w:tcPr>
            <w:tcW w:w="4151" w:type="dxa"/>
          </w:tcPr>
          <w:p w14:paraId="7F81C442" w14:textId="77777777" w:rsidR="00D2501A" w:rsidRPr="00800578" w:rsidRDefault="00D2501A" w:rsidP="006371E6">
            <w:pPr>
              <w:spacing w:after="120" w:line="276" w:lineRule="auto"/>
              <w:rPr>
                <w:rFonts w:ascii="Verdana" w:hAnsi="Verdana" w:cs="Calibri Light"/>
                <w:szCs w:val="20"/>
                <w:lang w:val="pl-PL"/>
              </w:rPr>
            </w:pPr>
            <w:r w:rsidRPr="00800578">
              <w:rPr>
                <w:color w:val="auto"/>
                <w:szCs w:val="20"/>
                <w:lang w:val="pl-PL"/>
              </w:rPr>
              <w:t>3.</w:t>
            </w:r>
            <w:r w:rsidRPr="00800578">
              <w:rPr>
                <w:b/>
                <w:color w:val="auto"/>
                <w:szCs w:val="20"/>
                <w:lang w:val="pl-PL"/>
              </w:rPr>
              <w:t xml:space="preserve"> </w:t>
            </w:r>
            <w:r w:rsidRPr="00800578">
              <w:rPr>
                <w:rFonts w:ascii="Verdana" w:hAnsi="Verdana" w:cs="Calibri Light"/>
                <w:szCs w:val="20"/>
                <w:lang w:val="pl-PL"/>
              </w:rPr>
              <w:t xml:space="preserve">Informacje ujawnione ustnie przez ŁUKASIEWICZ </w:t>
            </w:r>
            <w:r w:rsidRPr="00800578">
              <w:rPr>
                <w:rFonts w:ascii="Verdana" w:hAnsi="Verdana"/>
                <w:szCs w:val="20"/>
                <w:lang w:val="pl-PL"/>
              </w:rPr>
              <w:t>–</w:t>
            </w:r>
            <w:r w:rsidRPr="00800578">
              <w:rPr>
                <w:rFonts w:ascii="Verdana" w:hAnsi="Verdana" w:cs="Calibri Light"/>
                <w:szCs w:val="20"/>
                <w:lang w:val="pl-PL"/>
              </w:rPr>
              <w:t xml:space="preserve"> </w:t>
            </w:r>
            <w:r w:rsidRPr="00800578">
              <w:rPr>
                <w:rFonts w:ascii="Verdana" w:hAnsi="Verdana"/>
                <w:szCs w:val="20"/>
                <w:lang w:val="pl-PL"/>
              </w:rPr>
              <w:t>PORT</w:t>
            </w:r>
            <w:r w:rsidRPr="00800578">
              <w:rPr>
                <w:rFonts w:ascii="Verdana" w:hAnsi="Verdana" w:cs="Calibri Light"/>
                <w:szCs w:val="20"/>
                <w:lang w:val="pl-PL"/>
              </w:rPr>
              <w:t xml:space="preserve"> należy traktować jako poufne w okolicznościach, w których Odbiorca powinien w uzasadniony sposób rozumieć, że takie informacje należy </w:t>
            </w:r>
            <w:r w:rsidRPr="00800578">
              <w:rPr>
                <w:rFonts w:ascii="Verdana" w:hAnsi="Verdana" w:cs="Calibri Light"/>
                <w:szCs w:val="20"/>
                <w:lang w:val="pl-PL"/>
              </w:rPr>
              <w:lastRenderedPageBreak/>
              <w:t>traktować jako poufne, niezależnie od tego, czy określono je jako ‘poufne’.</w:t>
            </w:r>
          </w:p>
        </w:tc>
        <w:tc>
          <w:tcPr>
            <w:tcW w:w="4152" w:type="dxa"/>
          </w:tcPr>
          <w:p w14:paraId="30531D46" w14:textId="77777777" w:rsidR="00D2501A" w:rsidRPr="00800578" w:rsidRDefault="000653C6" w:rsidP="006371E6">
            <w:pPr>
              <w:spacing w:after="120" w:line="276" w:lineRule="auto"/>
              <w:rPr>
                <w:color w:val="auto"/>
                <w:szCs w:val="20"/>
              </w:rPr>
            </w:pPr>
            <w:r w:rsidRPr="00800578">
              <w:rPr>
                <w:color w:val="auto"/>
                <w:szCs w:val="20"/>
              </w:rPr>
              <w:lastRenderedPageBreak/>
              <w:t xml:space="preserve">3. Any Information disclosed verbally by ŁUKASIEWICZ-PORT shall be considered to be confidential if the Receiving Party can be reasonably expected to understand that such information should be treated as </w:t>
            </w:r>
            <w:r w:rsidRPr="00800578">
              <w:rPr>
                <w:color w:val="auto"/>
                <w:szCs w:val="20"/>
              </w:rPr>
              <w:lastRenderedPageBreak/>
              <w:t>confidential, regardless of whether it was explicitly described as such.</w:t>
            </w:r>
          </w:p>
        </w:tc>
      </w:tr>
      <w:tr w:rsidR="00D2501A" w:rsidRPr="00800578" w14:paraId="35B0D34A" w14:textId="77777777" w:rsidTr="007D510B">
        <w:tc>
          <w:tcPr>
            <w:tcW w:w="4151" w:type="dxa"/>
          </w:tcPr>
          <w:p w14:paraId="5AF57F6D" w14:textId="77777777" w:rsidR="00D2501A" w:rsidRPr="00800578" w:rsidRDefault="00D2501A" w:rsidP="006371E6">
            <w:pPr>
              <w:spacing w:after="120" w:line="276" w:lineRule="auto"/>
              <w:jc w:val="center"/>
              <w:rPr>
                <w:b/>
                <w:color w:val="auto"/>
                <w:szCs w:val="20"/>
                <w:lang w:val="pl-PL"/>
              </w:rPr>
            </w:pPr>
            <w:r w:rsidRPr="00800578">
              <w:rPr>
                <w:rFonts w:ascii="Verdana" w:hAnsi="Verdana"/>
                <w:b/>
                <w:color w:val="auto"/>
                <w:szCs w:val="20"/>
                <w:lang w:val="pl-PL"/>
              </w:rPr>
              <w:lastRenderedPageBreak/>
              <w:t>ARTYKUŁ 3 - ZOBOWIĄZANIA STRON</w:t>
            </w:r>
          </w:p>
        </w:tc>
        <w:tc>
          <w:tcPr>
            <w:tcW w:w="4152" w:type="dxa"/>
          </w:tcPr>
          <w:p w14:paraId="17265C54" w14:textId="77777777" w:rsidR="00D2501A" w:rsidRPr="00800578" w:rsidRDefault="000653C6" w:rsidP="006371E6">
            <w:pPr>
              <w:spacing w:after="120" w:line="276" w:lineRule="auto"/>
              <w:jc w:val="center"/>
              <w:rPr>
                <w:b/>
                <w:color w:val="auto"/>
                <w:szCs w:val="20"/>
              </w:rPr>
            </w:pPr>
            <w:r w:rsidRPr="00800578">
              <w:rPr>
                <w:b/>
                <w:color w:val="auto"/>
                <w:szCs w:val="20"/>
              </w:rPr>
              <w:t>ARTICLE 3 – RESPONSIBILITIES OF THE PARTIES</w:t>
            </w:r>
          </w:p>
        </w:tc>
      </w:tr>
      <w:tr w:rsidR="00D2501A" w:rsidRPr="00800578" w14:paraId="62B7B8D7" w14:textId="77777777" w:rsidTr="007D510B">
        <w:tc>
          <w:tcPr>
            <w:tcW w:w="4151" w:type="dxa"/>
          </w:tcPr>
          <w:p w14:paraId="5BA69061" w14:textId="77777777" w:rsidR="00D2501A" w:rsidRPr="00800578" w:rsidRDefault="00D2501A" w:rsidP="006371E6">
            <w:pPr>
              <w:spacing w:after="120" w:line="276" w:lineRule="auto"/>
              <w:rPr>
                <w:b/>
                <w:color w:val="auto"/>
                <w:szCs w:val="20"/>
                <w:lang w:val="pl-PL"/>
              </w:rPr>
            </w:pPr>
            <w:r w:rsidRPr="00800578">
              <w:rPr>
                <w:rFonts w:ascii="Verdana" w:eastAsia="Verdana" w:hAnsi="Verdana" w:cs="Calibri Light"/>
                <w:color w:val="000000"/>
                <w:szCs w:val="20"/>
                <w:lang w:val="pl-PL"/>
              </w:rPr>
              <w:t xml:space="preserve">1. </w:t>
            </w:r>
            <w:r w:rsidRPr="00800578">
              <w:rPr>
                <w:rFonts w:ascii="Verdana" w:eastAsia="Verdana" w:hAnsi="Verdana" w:cs="Times New Roman"/>
                <w:color w:val="000000"/>
                <w:szCs w:val="20"/>
                <w:lang w:val="pl-PL"/>
              </w:rPr>
              <w:t>Odbiorca zobowiązuje się przez okres obowiązywania Umowy (określony w Art. 8 Umowy „</w:t>
            </w:r>
            <w:r w:rsidRPr="00800578">
              <w:rPr>
                <w:rFonts w:ascii="Verdana" w:eastAsia="Verdana" w:hAnsi="Verdana" w:cs="Times New Roman"/>
                <w:b/>
                <w:color w:val="000000"/>
                <w:szCs w:val="20"/>
                <w:lang w:val="pl-PL"/>
              </w:rPr>
              <w:t>Okres obowiązywania</w:t>
            </w:r>
            <w:r w:rsidRPr="00800578">
              <w:rPr>
                <w:rFonts w:ascii="Verdana" w:eastAsia="Verdana" w:hAnsi="Verdana" w:cs="Times New Roman"/>
                <w:color w:val="000000"/>
                <w:szCs w:val="20"/>
                <w:lang w:val="pl-PL"/>
              </w:rPr>
              <w:t>”), że Informacje Poufne otrzymane od ŁUKASIEWICZ – PORT:</w:t>
            </w:r>
          </w:p>
        </w:tc>
        <w:tc>
          <w:tcPr>
            <w:tcW w:w="4152" w:type="dxa"/>
          </w:tcPr>
          <w:p w14:paraId="1FFDB28E" w14:textId="77777777" w:rsidR="00D2501A" w:rsidRPr="00800578" w:rsidRDefault="000653C6" w:rsidP="006371E6">
            <w:pPr>
              <w:spacing w:after="120" w:line="276" w:lineRule="auto"/>
              <w:rPr>
                <w:color w:val="auto"/>
                <w:szCs w:val="20"/>
              </w:rPr>
            </w:pPr>
            <w:r w:rsidRPr="00800578">
              <w:rPr>
                <w:color w:val="auto"/>
                <w:szCs w:val="20"/>
              </w:rPr>
              <w:t>1. Throughout the term of this Agreement (as defined under Article 8, “</w:t>
            </w:r>
            <w:r w:rsidRPr="00800578">
              <w:rPr>
                <w:b/>
                <w:color w:val="auto"/>
                <w:szCs w:val="20"/>
              </w:rPr>
              <w:t>Term</w:t>
            </w:r>
            <w:r w:rsidRPr="00800578">
              <w:rPr>
                <w:color w:val="auto"/>
                <w:szCs w:val="20"/>
              </w:rPr>
              <w:t>”, hereof), the Receiving Party agrees in relation to any Confidential Information it receives from ŁUKASIEWICZ-PORT:</w:t>
            </w:r>
          </w:p>
        </w:tc>
      </w:tr>
      <w:tr w:rsidR="00D2501A" w:rsidRPr="00800578" w14:paraId="6F9AAA71" w14:textId="77777777" w:rsidTr="007D510B">
        <w:tc>
          <w:tcPr>
            <w:tcW w:w="4151" w:type="dxa"/>
          </w:tcPr>
          <w:p w14:paraId="3D3B0658" w14:textId="77777777" w:rsidR="00D2501A" w:rsidRPr="00800578" w:rsidRDefault="00D2501A" w:rsidP="006371E6">
            <w:pPr>
              <w:numPr>
                <w:ilvl w:val="0"/>
                <w:numId w:val="20"/>
              </w:numPr>
              <w:spacing w:after="120" w:line="276" w:lineRule="auto"/>
              <w:ind w:left="1134" w:hanging="567"/>
              <w:rPr>
                <w:rFonts w:ascii="Verdana" w:eastAsia="Times New Roman" w:hAnsi="Verdana" w:cs="Times New Roman"/>
                <w:color w:val="auto"/>
                <w:spacing w:val="0"/>
                <w:szCs w:val="20"/>
                <w:lang w:val="pl-PL" w:eastAsia="pl-PL"/>
              </w:rPr>
            </w:pPr>
            <w:r w:rsidRPr="00800578">
              <w:rPr>
                <w:rFonts w:ascii="Verdana" w:eastAsia="Times New Roman" w:hAnsi="Verdana" w:cs="Times New Roman"/>
                <w:color w:val="auto"/>
                <w:spacing w:val="0"/>
                <w:szCs w:val="20"/>
                <w:lang w:val="pl-PL" w:eastAsia="pl-PL"/>
              </w:rPr>
              <w:t xml:space="preserve">będą chronione i traktowane jako poufne w ten sam sposób i na tym samym poziomie ostrożności i ochrony co własne informacje poufne o podobnym znaczeniu dla Odbiorcy, </w:t>
            </w:r>
            <w:r w:rsidRPr="00800578">
              <w:rPr>
                <w:rFonts w:ascii="Verdana" w:eastAsia="Times New Roman" w:hAnsi="Verdana" w:cs="Calibri Light"/>
                <w:color w:val="auto"/>
                <w:spacing w:val="0"/>
                <w:szCs w:val="20"/>
                <w:lang w:val="pl-PL" w:eastAsia="pl-PL"/>
              </w:rPr>
              <w:t>ale nie mniej niż z uzasadnioną starannością w danych okolicznościach;</w:t>
            </w:r>
          </w:p>
        </w:tc>
        <w:tc>
          <w:tcPr>
            <w:tcW w:w="4152" w:type="dxa"/>
          </w:tcPr>
          <w:p w14:paraId="1C6F2993" w14:textId="77777777" w:rsidR="00D2501A" w:rsidRPr="00800578" w:rsidRDefault="000653C6" w:rsidP="006371E6">
            <w:pPr>
              <w:pStyle w:val="Akapitzlist"/>
              <w:numPr>
                <w:ilvl w:val="0"/>
                <w:numId w:val="24"/>
              </w:numPr>
              <w:spacing w:after="120" w:line="276" w:lineRule="auto"/>
              <w:contextualSpacing w:val="0"/>
              <w:jc w:val="both"/>
              <w:rPr>
                <w:szCs w:val="20"/>
              </w:rPr>
            </w:pPr>
            <w:r w:rsidRPr="00800578">
              <w:rPr>
                <w:rFonts w:ascii="Verdana" w:hAnsi="Verdana"/>
                <w:sz w:val="20"/>
                <w:szCs w:val="20"/>
              </w:rPr>
              <w:t>to keep it safe and confidential in the same way, and with the same degree of care and protection, as its own confidential information of similar importance to the Receiving Party, but in any case at least with reasonable care that might be expected in any specific situation;</w:t>
            </w:r>
          </w:p>
        </w:tc>
      </w:tr>
      <w:tr w:rsidR="00D2501A" w:rsidRPr="00800578" w14:paraId="74982F74" w14:textId="77777777" w:rsidTr="007D510B">
        <w:tc>
          <w:tcPr>
            <w:tcW w:w="4151" w:type="dxa"/>
          </w:tcPr>
          <w:p w14:paraId="1B899A2D" w14:textId="0AEEED88" w:rsidR="00D2501A" w:rsidRPr="00800578" w:rsidRDefault="00D2501A" w:rsidP="006371E6">
            <w:pPr>
              <w:pStyle w:val="Akapitzlist"/>
              <w:numPr>
                <w:ilvl w:val="0"/>
                <w:numId w:val="24"/>
              </w:numPr>
              <w:spacing w:after="120" w:line="276" w:lineRule="auto"/>
              <w:ind w:left="1134" w:hanging="567"/>
              <w:contextualSpacing w:val="0"/>
              <w:jc w:val="both"/>
              <w:rPr>
                <w:rFonts w:ascii="Verdana" w:hAnsi="Verdana"/>
                <w:sz w:val="20"/>
                <w:szCs w:val="20"/>
                <w:lang w:val="pl-PL"/>
              </w:rPr>
            </w:pPr>
            <w:r w:rsidRPr="00800578">
              <w:rPr>
                <w:rFonts w:ascii="Verdana" w:hAnsi="Verdana"/>
                <w:sz w:val="20"/>
                <w:szCs w:val="20"/>
                <w:lang w:val="pl-PL"/>
              </w:rPr>
              <w:t xml:space="preserve">będą ujawniane wewnętrznie przez Odbiorcę tylko do wiadomości swoich pracowników, wykonawców, doradców prawnych, finansowych, technicznych </w:t>
            </w:r>
            <w:r w:rsidRPr="00800578">
              <w:rPr>
                <w:rFonts w:ascii="Verdana" w:hAnsi="Verdana" w:cs="Calibri Light"/>
                <w:sz w:val="20"/>
                <w:szCs w:val="20"/>
                <w:lang w:val="pl-PL"/>
              </w:rPr>
              <w:t>(zwanych dalej łącznie „</w:t>
            </w:r>
            <w:r w:rsidRPr="00800578">
              <w:rPr>
                <w:rFonts w:ascii="Verdana" w:hAnsi="Verdana" w:cs="Calibri Light"/>
                <w:b/>
                <w:sz w:val="20"/>
                <w:szCs w:val="20"/>
                <w:lang w:val="pl-PL"/>
              </w:rPr>
              <w:t>Przedstawicielami</w:t>
            </w:r>
            <w:r w:rsidRPr="00800578">
              <w:rPr>
                <w:rFonts w:ascii="Verdana" w:hAnsi="Verdana" w:cs="Calibri Light"/>
                <w:sz w:val="20"/>
                <w:szCs w:val="20"/>
                <w:lang w:val="pl-PL"/>
              </w:rPr>
              <w:t xml:space="preserve">”) </w:t>
            </w:r>
            <w:r w:rsidRPr="00800578">
              <w:rPr>
                <w:rFonts w:ascii="Verdana" w:hAnsi="Verdana"/>
                <w:sz w:val="20"/>
                <w:szCs w:val="20"/>
                <w:lang w:val="pl-PL"/>
              </w:rPr>
              <w:t xml:space="preserve">w zakresie w jakim ujawnienie danej Informacji Poufnej ŁUKASIEWICZ – PORT jest niezbędne w związku z </w:t>
            </w:r>
            <w:r w:rsidR="00AF7A5E">
              <w:rPr>
                <w:rFonts w:ascii="Verdana" w:hAnsi="Verdana"/>
                <w:sz w:val="20"/>
                <w:szCs w:val="20"/>
                <w:lang w:val="pl-PL"/>
              </w:rPr>
              <w:t>Konsultacjami</w:t>
            </w:r>
            <w:r w:rsidR="00D34C11" w:rsidRPr="00800578">
              <w:rPr>
                <w:rFonts w:ascii="Verdana" w:hAnsi="Verdana"/>
                <w:sz w:val="20"/>
                <w:szCs w:val="20"/>
                <w:lang w:val="pl-PL"/>
              </w:rPr>
              <w:t xml:space="preserve"> </w:t>
            </w:r>
            <w:r w:rsidRPr="00800578">
              <w:rPr>
                <w:rFonts w:ascii="Verdana" w:hAnsi="Verdana" w:cs="Calibri Light"/>
                <w:sz w:val="20"/>
                <w:szCs w:val="20"/>
                <w:lang w:val="pl-PL"/>
              </w:rPr>
              <w:t xml:space="preserve">oraz wykonywaniem obowiązków wobec Odbiorcy oraz </w:t>
            </w:r>
            <w:r w:rsidRPr="00800578">
              <w:rPr>
                <w:rFonts w:ascii="Verdana" w:hAnsi="Verdana"/>
                <w:sz w:val="20"/>
                <w:szCs w:val="20"/>
                <w:lang w:val="pl-PL"/>
              </w:rPr>
              <w:t xml:space="preserve">po zobowiązaniu tych osób do zachowania ujawnionych informacji w poufności na warunkach </w:t>
            </w:r>
            <w:r w:rsidRPr="00800578">
              <w:rPr>
                <w:rFonts w:ascii="Verdana" w:hAnsi="Verdana"/>
                <w:sz w:val="20"/>
                <w:szCs w:val="20"/>
                <w:lang w:val="pl-PL"/>
              </w:rPr>
              <w:lastRenderedPageBreak/>
              <w:t xml:space="preserve">odpowiadających warunkom określonym w Umowie; </w:t>
            </w:r>
          </w:p>
        </w:tc>
        <w:tc>
          <w:tcPr>
            <w:tcW w:w="4152" w:type="dxa"/>
          </w:tcPr>
          <w:p w14:paraId="08EC8432" w14:textId="3F13DE3C" w:rsidR="00D2501A" w:rsidRPr="00800578" w:rsidRDefault="009825B4" w:rsidP="006371E6">
            <w:pPr>
              <w:pStyle w:val="Akapitzlist"/>
              <w:numPr>
                <w:ilvl w:val="0"/>
                <w:numId w:val="20"/>
              </w:numPr>
              <w:spacing w:after="120" w:line="276" w:lineRule="auto"/>
              <w:ind w:left="669" w:hanging="567"/>
              <w:contextualSpacing w:val="0"/>
              <w:jc w:val="both"/>
              <w:rPr>
                <w:rFonts w:asciiTheme="minorHAnsi" w:hAnsiTheme="minorHAnsi"/>
                <w:sz w:val="20"/>
                <w:szCs w:val="20"/>
              </w:rPr>
            </w:pPr>
            <w:r w:rsidRPr="00800578">
              <w:rPr>
                <w:rFonts w:asciiTheme="minorHAnsi" w:hAnsiTheme="minorHAnsi"/>
                <w:sz w:val="20"/>
                <w:szCs w:val="20"/>
              </w:rPr>
              <w:lastRenderedPageBreak/>
              <w:t>to have it disclosed internally by the Receiving Party only to its employees, contractors, or legal, financial or technical advisers (hereinafter jointly referred to as the “</w:t>
            </w:r>
            <w:r w:rsidRPr="00800578">
              <w:rPr>
                <w:rFonts w:asciiTheme="minorHAnsi" w:hAnsiTheme="minorHAnsi"/>
                <w:b/>
                <w:bCs/>
                <w:sz w:val="20"/>
                <w:szCs w:val="20"/>
              </w:rPr>
              <w:t>Representatives</w:t>
            </w:r>
            <w:r w:rsidRPr="00800578">
              <w:rPr>
                <w:rFonts w:asciiTheme="minorHAnsi" w:hAnsiTheme="minorHAnsi"/>
                <w:sz w:val="20"/>
                <w:szCs w:val="20"/>
              </w:rPr>
              <w:t xml:space="preserve">”), to the extent to which the disclosure of any such Confidential Information of ŁUKASIEWICZ-PORT is necessary for the </w:t>
            </w:r>
            <w:r w:rsidR="005D01A8">
              <w:rPr>
                <w:rFonts w:asciiTheme="minorHAnsi" w:hAnsiTheme="minorHAnsi"/>
                <w:sz w:val="20"/>
                <w:szCs w:val="20"/>
              </w:rPr>
              <w:t>Consultations</w:t>
            </w:r>
            <w:r w:rsidRPr="00800578">
              <w:rPr>
                <w:rFonts w:asciiTheme="minorHAnsi" w:hAnsiTheme="minorHAnsi"/>
                <w:sz w:val="20"/>
                <w:szCs w:val="20"/>
              </w:rPr>
              <w:t xml:space="preserve"> or the fulfilment of obligations towards the Receiving Party, and provided that such persons have been required to keep such disclosed information confidential on terms and conditions similar to those specified hereunder;</w:t>
            </w:r>
          </w:p>
        </w:tc>
      </w:tr>
      <w:tr w:rsidR="00D2501A" w:rsidRPr="00800578" w14:paraId="60CA023C" w14:textId="77777777" w:rsidTr="007D510B">
        <w:tc>
          <w:tcPr>
            <w:tcW w:w="4151" w:type="dxa"/>
          </w:tcPr>
          <w:p w14:paraId="0D616550" w14:textId="78417DEF" w:rsidR="00D2501A" w:rsidRPr="00800578" w:rsidRDefault="00D2501A" w:rsidP="006371E6">
            <w:pPr>
              <w:pStyle w:val="Akapitzlist"/>
              <w:numPr>
                <w:ilvl w:val="0"/>
                <w:numId w:val="24"/>
              </w:numPr>
              <w:spacing w:after="120" w:line="276" w:lineRule="auto"/>
              <w:ind w:left="1134" w:hanging="567"/>
              <w:contextualSpacing w:val="0"/>
              <w:jc w:val="both"/>
              <w:rPr>
                <w:rFonts w:ascii="Verdana" w:hAnsi="Verdana"/>
                <w:sz w:val="20"/>
                <w:szCs w:val="20"/>
                <w:lang w:val="pl-PL"/>
              </w:rPr>
            </w:pPr>
            <w:r w:rsidRPr="00800578">
              <w:rPr>
                <w:rFonts w:ascii="Verdana" w:hAnsi="Verdana"/>
                <w:sz w:val="20"/>
                <w:szCs w:val="20"/>
                <w:lang w:val="pl-PL"/>
              </w:rPr>
              <w:t>nie będą wykorzystywane w całości lub w części, bezpośrednio lub pośrednio, do innych celów niż </w:t>
            </w:r>
            <w:r w:rsidR="00AF7A5E">
              <w:rPr>
                <w:rFonts w:ascii="Verdana" w:hAnsi="Verdana"/>
                <w:sz w:val="20"/>
                <w:szCs w:val="20"/>
                <w:lang w:val="pl-PL"/>
              </w:rPr>
              <w:t>Konsultacje</w:t>
            </w:r>
            <w:r w:rsidRPr="00800578">
              <w:rPr>
                <w:rFonts w:ascii="Verdana" w:hAnsi="Verdana"/>
                <w:sz w:val="20"/>
                <w:szCs w:val="20"/>
                <w:lang w:val="pl-PL"/>
              </w:rPr>
              <w:t xml:space="preserve">, bez uprzedniej pisemnej zgody Strony ŁUKASIEWICZ – PORT; </w:t>
            </w:r>
          </w:p>
        </w:tc>
        <w:tc>
          <w:tcPr>
            <w:tcW w:w="4152" w:type="dxa"/>
          </w:tcPr>
          <w:p w14:paraId="6C785E64" w14:textId="03892760" w:rsidR="00D2501A" w:rsidRPr="00800578" w:rsidRDefault="009825B4" w:rsidP="006371E6">
            <w:pPr>
              <w:pStyle w:val="Akapitzlist"/>
              <w:numPr>
                <w:ilvl w:val="0"/>
                <w:numId w:val="20"/>
              </w:numPr>
              <w:spacing w:after="120" w:line="276" w:lineRule="auto"/>
              <w:ind w:left="669" w:hanging="567"/>
              <w:contextualSpacing w:val="0"/>
              <w:jc w:val="both"/>
              <w:rPr>
                <w:rFonts w:asciiTheme="minorHAnsi" w:hAnsiTheme="minorHAnsi"/>
                <w:sz w:val="20"/>
                <w:szCs w:val="20"/>
              </w:rPr>
            </w:pPr>
            <w:r w:rsidRPr="00800578">
              <w:rPr>
                <w:rFonts w:asciiTheme="minorHAnsi" w:hAnsiTheme="minorHAnsi"/>
                <w:sz w:val="20"/>
                <w:szCs w:val="20"/>
              </w:rPr>
              <w:t xml:space="preserve">not to have it used either in part or in whole, whether directly or indirectly, for the purposes other than the </w:t>
            </w:r>
            <w:r w:rsidR="005D01A8">
              <w:rPr>
                <w:rFonts w:asciiTheme="minorHAnsi" w:hAnsiTheme="minorHAnsi"/>
                <w:sz w:val="20"/>
                <w:szCs w:val="20"/>
              </w:rPr>
              <w:t>Consultations</w:t>
            </w:r>
            <w:r w:rsidRPr="00800578">
              <w:rPr>
                <w:rFonts w:asciiTheme="minorHAnsi" w:hAnsiTheme="minorHAnsi"/>
                <w:sz w:val="20"/>
                <w:szCs w:val="20"/>
              </w:rPr>
              <w:t xml:space="preserve">, without prior written authorisation from ŁUKASIEWICZ-PORT;  </w:t>
            </w:r>
          </w:p>
        </w:tc>
      </w:tr>
      <w:tr w:rsidR="00D2501A" w:rsidRPr="00800578" w14:paraId="6DB720DD" w14:textId="77777777" w:rsidTr="007D510B">
        <w:tc>
          <w:tcPr>
            <w:tcW w:w="4151" w:type="dxa"/>
          </w:tcPr>
          <w:p w14:paraId="40C4A4D1" w14:textId="77777777" w:rsidR="00D2501A" w:rsidRPr="00800578" w:rsidRDefault="00EC18B9" w:rsidP="006371E6">
            <w:pPr>
              <w:pStyle w:val="Akapitzlist"/>
              <w:numPr>
                <w:ilvl w:val="0"/>
                <w:numId w:val="24"/>
              </w:numPr>
              <w:spacing w:after="120" w:line="276" w:lineRule="auto"/>
              <w:ind w:left="1134" w:hanging="567"/>
              <w:contextualSpacing w:val="0"/>
              <w:jc w:val="both"/>
              <w:rPr>
                <w:rFonts w:ascii="Verdana" w:hAnsi="Verdana"/>
                <w:sz w:val="20"/>
                <w:szCs w:val="20"/>
                <w:lang w:val="pl-PL"/>
              </w:rPr>
            </w:pPr>
            <w:r w:rsidRPr="00800578">
              <w:rPr>
                <w:rFonts w:ascii="Verdana" w:hAnsi="Verdana"/>
                <w:sz w:val="20"/>
                <w:szCs w:val="20"/>
                <w:lang w:val="pl-PL"/>
              </w:rPr>
              <w:t xml:space="preserve">nie mogą być ujawniane bezpośrednio lub pośrednio jakiejkolwiek osobie trzeciej lub innym osobom niż wymienione w punkcie 3.1.b) Umowy, </w:t>
            </w:r>
            <w:r w:rsidRPr="00800578">
              <w:rPr>
                <w:rFonts w:ascii="Verdana" w:hAnsi="Verdana" w:cs="Calibri Light"/>
                <w:sz w:val="20"/>
                <w:szCs w:val="20"/>
                <w:lang w:val="pl-PL"/>
              </w:rPr>
              <w:t xml:space="preserve">ani w inny sposób rozpowszechniane </w:t>
            </w:r>
            <w:r w:rsidRPr="00800578">
              <w:rPr>
                <w:rFonts w:ascii="Verdana" w:hAnsi="Verdana"/>
                <w:sz w:val="20"/>
                <w:szCs w:val="20"/>
                <w:lang w:val="pl-PL"/>
              </w:rPr>
              <w:t>bez uprzedniej pisemnej zgody ŁUKASIEWICZ – PORT i pod warunkiem, że osoba trzecia zobowiązuje się pisemnie zachować te same warunki poufności zgodnie z Umową;</w:t>
            </w:r>
          </w:p>
        </w:tc>
        <w:tc>
          <w:tcPr>
            <w:tcW w:w="4152" w:type="dxa"/>
          </w:tcPr>
          <w:p w14:paraId="52F3CAC7" w14:textId="77777777" w:rsidR="00D2501A" w:rsidRPr="00800578" w:rsidRDefault="009825B4" w:rsidP="006371E6">
            <w:pPr>
              <w:pStyle w:val="Akapitzlist"/>
              <w:numPr>
                <w:ilvl w:val="0"/>
                <w:numId w:val="20"/>
              </w:numPr>
              <w:spacing w:after="120" w:line="276" w:lineRule="auto"/>
              <w:ind w:left="669" w:hanging="567"/>
              <w:contextualSpacing w:val="0"/>
              <w:jc w:val="both"/>
              <w:rPr>
                <w:rFonts w:asciiTheme="minorHAnsi" w:hAnsiTheme="minorHAnsi"/>
                <w:sz w:val="20"/>
                <w:szCs w:val="20"/>
              </w:rPr>
            </w:pPr>
            <w:r w:rsidRPr="00800578">
              <w:rPr>
                <w:rFonts w:asciiTheme="minorHAnsi" w:hAnsiTheme="minorHAnsi"/>
                <w:sz w:val="20"/>
                <w:szCs w:val="20"/>
              </w:rPr>
              <w:t>not to disclose it, whether directly or indirectly, to any third party or any person other than those referred to in section 3.1.b) hereof, nor disclose it otherwise without prior written authorisation from ŁUKASIEWICZ-PORT, and provided that any such third party agrees in writing to comply with the same confidentiality requirements as defined hereunder;</w:t>
            </w:r>
          </w:p>
        </w:tc>
      </w:tr>
      <w:tr w:rsidR="00D2501A" w:rsidRPr="00800578" w14:paraId="745764F4" w14:textId="77777777" w:rsidTr="007D510B">
        <w:tc>
          <w:tcPr>
            <w:tcW w:w="4151" w:type="dxa"/>
          </w:tcPr>
          <w:p w14:paraId="25749FB2" w14:textId="77777777" w:rsidR="00D2501A" w:rsidRPr="00800578" w:rsidRDefault="00EC18B9" w:rsidP="006371E6">
            <w:pPr>
              <w:pStyle w:val="Akapitzlist"/>
              <w:numPr>
                <w:ilvl w:val="0"/>
                <w:numId w:val="24"/>
              </w:numPr>
              <w:spacing w:after="120" w:line="276" w:lineRule="auto"/>
              <w:ind w:left="1134" w:hanging="567"/>
              <w:contextualSpacing w:val="0"/>
              <w:jc w:val="both"/>
              <w:rPr>
                <w:rFonts w:ascii="Verdana" w:hAnsi="Verdana"/>
                <w:sz w:val="20"/>
                <w:szCs w:val="20"/>
                <w:lang w:val="pl-PL"/>
              </w:rPr>
            </w:pPr>
            <w:r w:rsidRPr="00800578">
              <w:rPr>
                <w:rFonts w:ascii="Verdana" w:hAnsi="Verdana"/>
                <w:sz w:val="20"/>
                <w:szCs w:val="20"/>
                <w:lang w:val="pl-PL"/>
              </w:rPr>
              <w:t xml:space="preserve">nie mogą być kopiowane ani w jakikolwiek inny sposób powielane, z wyjątkiem konieczności określonej w punkcie 3.1.b) Umowy, ani publikowane w całości lub w części, bez uprzedniej pisemnej zgody ŁUKASIEWICZ – PORT; </w:t>
            </w:r>
          </w:p>
        </w:tc>
        <w:tc>
          <w:tcPr>
            <w:tcW w:w="4152" w:type="dxa"/>
          </w:tcPr>
          <w:p w14:paraId="061F283D" w14:textId="77777777" w:rsidR="00D2501A" w:rsidRPr="00800578" w:rsidRDefault="009825B4" w:rsidP="006371E6">
            <w:pPr>
              <w:pStyle w:val="Akapitzlist"/>
              <w:numPr>
                <w:ilvl w:val="0"/>
                <w:numId w:val="20"/>
              </w:numPr>
              <w:spacing w:after="120" w:line="276" w:lineRule="auto"/>
              <w:ind w:left="669" w:hanging="567"/>
              <w:contextualSpacing w:val="0"/>
              <w:jc w:val="both"/>
              <w:rPr>
                <w:rFonts w:asciiTheme="minorHAnsi" w:hAnsiTheme="minorHAnsi"/>
                <w:sz w:val="20"/>
                <w:szCs w:val="20"/>
              </w:rPr>
            </w:pPr>
            <w:r w:rsidRPr="00800578">
              <w:rPr>
                <w:rFonts w:asciiTheme="minorHAnsi" w:hAnsiTheme="minorHAnsi"/>
                <w:sz w:val="20"/>
                <w:szCs w:val="20"/>
              </w:rPr>
              <w:t xml:space="preserve">not to have it copied or otherwise reproduced, except as necessary for the purposes described in section 3.1.b) hereof, nor to have it published, whether in part or in full, without prior written authorisation from ŁUKASIEWICZ-PORT;  </w:t>
            </w:r>
          </w:p>
        </w:tc>
      </w:tr>
      <w:tr w:rsidR="00D2501A" w:rsidRPr="00800578" w14:paraId="401F900D" w14:textId="77777777" w:rsidTr="007D510B">
        <w:tc>
          <w:tcPr>
            <w:tcW w:w="4151" w:type="dxa"/>
          </w:tcPr>
          <w:p w14:paraId="57C8D8B4" w14:textId="77777777" w:rsidR="00D2501A" w:rsidRPr="00800578" w:rsidRDefault="00EC18B9" w:rsidP="006371E6">
            <w:pPr>
              <w:pStyle w:val="Akapitzlist"/>
              <w:numPr>
                <w:ilvl w:val="0"/>
                <w:numId w:val="24"/>
              </w:numPr>
              <w:spacing w:after="120" w:line="276" w:lineRule="auto"/>
              <w:ind w:left="1134" w:hanging="567"/>
              <w:contextualSpacing w:val="0"/>
              <w:jc w:val="both"/>
              <w:rPr>
                <w:rFonts w:ascii="Verdana" w:hAnsi="Verdana"/>
                <w:sz w:val="20"/>
                <w:szCs w:val="20"/>
                <w:lang w:val="pl-PL"/>
              </w:rPr>
            </w:pPr>
            <w:r w:rsidRPr="00800578">
              <w:rPr>
                <w:rFonts w:ascii="Verdana" w:hAnsi="Verdana"/>
                <w:sz w:val="20"/>
                <w:szCs w:val="20"/>
                <w:lang w:val="pl-PL"/>
              </w:rPr>
              <w:t>nie mogą być stosowane w celu uzyskania prawa własności intelektualnej (w tym praw patentowych bez ograniczeń, praw autorskich, znaków towarowych) w jakimkolwiek kraju;</w:t>
            </w:r>
          </w:p>
        </w:tc>
        <w:tc>
          <w:tcPr>
            <w:tcW w:w="4152" w:type="dxa"/>
          </w:tcPr>
          <w:p w14:paraId="4F2E592A" w14:textId="77777777" w:rsidR="00D2501A" w:rsidRPr="00800578" w:rsidRDefault="009825B4" w:rsidP="006371E6">
            <w:pPr>
              <w:pStyle w:val="Akapitzlist"/>
              <w:numPr>
                <w:ilvl w:val="0"/>
                <w:numId w:val="20"/>
              </w:numPr>
              <w:spacing w:after="120" w:line="276" w:lineRule="auto"/>
              <w:ind w:left="669" w:hanging="567"/>
              <w:contextualSpacing w:val="0"/>
              <w:jc w:val="both"/>
              <w:rPr>
                <w:rFonts w:asciiTheme="minorHAnsi" w:hAnsiTheme="minorHAnsi"/>
                <w:sz w:val="20"/>
                <w:szCs w:val="20"/>
              </w:rPr>
            </w:pPr>
            <w:r w:rsidRPr="00800578">
              <w:rPr>
                <w:rFonts w:asciiTheme="minorHAnsi" w:hAnsiTheme="minorHAnsi"/>
                <w:sz w:val="20"/>
                <w:szCs w:val="20"/>
              </w:rPr>
              <w:t>not to use it for the purposes of claiming any intellectual property rights (including unlimited patent rights, copyrights and trademarks) anywhere around the world;</w:t>
            </w:r>
          </w:p>
        </w:tc>
      </w:tr>
      <w:tr w:rsidR="00D2501A" w:rsidRPr="00800578" w14:paraId="4320F180" w14:textId="77777777" w:rsidTr="007D510B">
        <w:tc>
          <w:tcPr>
            <w:tcW w:w="4151" w:type="dxa"/>
          </w:tcPr>
          <w:p w14:paraId="15E61CDD" w14:textId="77777777" w:rsidR="00D2501A" w:rsidRPr="00800578" w:rsidRDefault="00EC18B9" w:rsidP="006371E6">
            <w:pPr>
              <w:pStyle w:val="Akapitzlist"/>
              <w:numPr>
                <w:ilvl w:val="0"/>
                <w:numId w:val="24"/>
              </w:numPr>
              <w:spacing w:after="120" w:line="276" w:lineRule="auto"/>
              <w:ind w:left="1134" w:hanging="567"/>
              <w:contextualSpacing w:val="0"/>
              <w:jc w:val="both"/>
              <w:rPr>
                <w:rFonts w:ascii="Verdana" w:hAnsi="Verdana" w:cs="Calibri Light"/>
                <w:sz w:val="20"/>
                <w:szCs w:val="20"/>
                <w:lang w:val="pl-PL"/>
              </w:rPr>
            </w:pPr>
            <w:r w:rsidRPr="00800578">
              <w:rPr>
                <w:rFonts w:ascii="Verdana" w:hAnsi="Verdana" w:cs="Calibri Light"/>
                <w:sz w:val="20"/>
                <w:szCs w:val="20"/>
                <w:lang w:val="pl-PL"/>
              </w:rPr>
              <w:t xml:space="preserve">nie mogą podlegać dezasemblacji, inżynierii </w:t>
            </w:r>
            <w:r w:rsidRPr="00800578">
              <w:rPr>
                <w:rFonts w:ascii="Verdana" w:hAnsi="Verdana" w:cs="Calibri Light"/>
                <w:sz w:val="20"/>
                <w:szCs w:val="20"/>
                <w:lang w:val="pl-PL"/>
              </w:rPr>
              <w:lastRenderedPageBreak/>
              <w:t>wstecznej, dekompilacji, z wyjątkiem przypadków określonych przez Stronę Ujawniającą.</w:t>
            </w:r>
          </w:p>
        </w:tc>
        <w:tc>
          <w:tcPr>
            <w:tcW w:w="4152" w:type="dxa"/>
          </w:tcPr>
          <w:p w14:paraId="37EE1178" w14:textId="77777777" w:rsidR="00D2501A" w:rsidRPr="00800578" w:rsidRDefault="009825B4" w:rsidP="006371E6">
            <w:pPr>
              <w:pStyle w:val="Akapitzlist"/>
              <w:numPr>
                <w:ilvl w:val="0"/>
                <w:numId w:val="20"/>
              </w:numPr>
              <w:spacing w:after="120" w:line="276" w:lineRule="auto"/>
              <w:ind w:left="669" w:hanging="567"/>
              <w:contextualSpacing w:val="0"/>
              <w:jc w:val="both"/>
              <w:rPr>
                <w:rFonts w:asciiTheme="minorHAnsi" w:hAnsiTheme="minorHAnsi" w:cs="Calibri Light"/>
                <w:sz w:val="20"/>
                <w:szCs w:val="20"/>
              </w:rPr>
            </w:pPr>
            <w:r w:rsidRPr="00800578">
              <w:rPr>
                <w:rFonts w:asciiTheme="minorHAnsi" w:hAnsiTheme="minorHAnsi"/>
                <w:sz w:val="20"/>
                <w:szCs w:val="20"/>
              </w:rPr>
              <w:lastRenderedPageBreak/>
              <w:t xml:space="preserve">not to have it disassembled, reverse-engineered or </w:t>
            </w:r>
            <w:r w:rsidRPr="00800578">
              <w:rPr>
                <w:rFonts w:asciiTheme="minorHAnsi" w:hAnsiTheme="minorHAnsi"/>
                <w:sz w:val="20"/>
                <w:szCs w:val="20"/>
              </w:rPr>
              <w:lastRenderedPageBreak/>
              <w:t>decompiled, except as expressly allowed by the Disclosing Party.</w:t>
            </w:r>
          </w:p>
        </w:tc>
      </w:tr>
      <w:tr w:rsidR="00D2501A" w:rsidRPr="00800578" w14:paraId="3BD731F2" w14:textId="77777777" w:rsidTr="007D510B">
        <w:tc>
          <w:tcPr>
            <w:tcW w:w="4151" w:type="dxa"/>
          </w:tcPr>
          <w:p w14:paraId="61DD8B39" w14:textId="77777777" w:rsidR="00D2501A" w:rsidRPr="00800578" w:rsidRDefault="00EC18B9" w:rsidP="006371E6">
            <w:pPr>
              <w:spacing w:after="120" w:line="276" w:lineRule="auto"/>
              <w:rPr>
                <w:b/>
                <w:color w:val="auto"/>
                <w:szCs w:val="20"/>
                <w:lang w:val="pl-PL"/>
              </w:rPr>
            </w:pPr>
            <w:r w:rsidRPr="00800578">
              <w:rPr>
                <w:color w:val="auto"/>
                <w:szCs w:val="20"/>
                <w:lang w:val="pl-PL"/>
              </w:rPr>
              <w:lastRenderedPageBreak/>
              <w:t>2.</w:t>
            </w:r>
            <w:r w:rsidRPr="00800578">
              <w:rPr>
                <w:b/>
                <w:color w:val="auto"/>
                <w:szCs w:val="20"/>
                <w:lang w:val="pl-PL"/>
              </w:rPr>
              <w:t xml:space="preserve"> </w:t>
            </w:r>
            <w:r w:rsidRPr="00800578">
              <w:rPr>
                <w:rFonts w:ascii="Verdana" w:hAnsi="Verdana" w:cs="Calibri Light"/>
                <w:szCs w:val="20"/>
                <w:lang w:val="pl-PL"/>
              </w:rPr>
              <w:t>Odbiorca zobowiązuje się, że nie zezwoli swoim przedstawicielom na działania określone w ust. 1 lit. c-g.</w:t>
            </w:r>
          </w:p>
        </w:tc>
        <w:tc>
          <w:tcPr>
            <w:tcW w:w="4152" w:type="dxa"/>
          </w:tcPr>
          <w:p w14:paraId="0B32EDBD" w14:textId="77777777" w:rsidR="00D2501A" w:rsidRPr="00800578" w:rsidRDefault="009825B4" w:rsidP="006371E6">
            <w:pPr>
              <w:spacing w:after="120" w:line="276" w:lineRule="auto"/>
              <w:rPr>
                <w:rFonts w:ascii="Verdana" w:eastAsia="Times New Roman" w:hAnsi="Verdana" w:cs="Calibri Light"/>
                <w:color w:val="auto"/>
                <w:spacing w:val="0"/>
                <w:szCs w:val="20"/>
                <w:lang w:eastAsia="pl-PL"/>
              </w:rPr>
            </w:pPr>
            <w:r w:rsidRPr="00800578">
              <w:rPr>
                <w:rFonts w:ascii="Verdana" w:eastAsia="Times New Roman" w:hAnsi="Verdana" w:cs="Times New Roman"/>
                <w:color w:val="auto"/>
                <w:spacing w:val="0"/>
                <w:szCs w:val="20"/>
                <w:lang w:eastAsia="pl-PL"/>
              </w:rPr>
              <w:t>2. The Receiving Party agrees not to allow its Representatives engage in any of the activities described in section 1 letters c) through g).</w:t>
            </w:r>
          </w:p>
        </w:tc>
      </w:tr>
      <w:tr w:rsidR="00D2501A" w:rsidRPr="00800578" w14:paraId="1B5FD22E" w14:textId="77777777" w:rsidTr="007D510B">
        <w:tc>
          <w:tcPr>
            <w:tcW w:w="4151" w:type="dxa"/>
          </w:tcPr>
          <w:p w14:paraId="49A3D2ED" w14:textId="77777777" w:rsidR="00D2501A" w:rsidRPr="00800578" w:rsidRDefault="00EC18B9" w:rsidP="006371E6">
            <w:pPr>
              <w:spacing w:after="120" w:line="276" w:lineRule="auto"/>
              <w:rPr>
                <w:b/>
                <w:color w:val="auto"/>
                <w:szCs w:val="20"/>
                <w:lang w:val="pl-PL"/>
              </w:rPr>
            </w:pPr>
            <w:r w:rsidRPr="00800578">
              <w:rPr>
                <w:rFonts w:ascii="Verdana" w:eastAsia="Verdana" w:hAnsi="Verdana" w:cs="Times New Roman"/>
                <w:color w:val="000000"/>
                <w:szCs w:val="20"/>
                <w:lang w:val="pl-PL"/>
              </w:rPr>
              <w:t>3. W przypadku ujawnienia Informacji Poufnych Odbiorca podejmie wszelkie środki w celu (i) powiadomienia osób trzecich o poufnym charakterze tych informacji oraz prawach własności ŁUKASIEWICZ – PORT, (ii) powiadomienia ŁUKASIEWICZ – PORT o ujawnieniu Informacji Poufnych, (iii) uniknięcia dalszych ujawnień oraz (iv) żądania zwrotu ujawnionych materiałów wraz z kopiami, osobistymi notatkami lub korespondencją dotyczącą informacji poufnych zawartych w ujawnionych materiałach, bez uszczerbku dla wszelkich roszczeń, które mogą być dochodzone przez ŁUKASIEWICZ – PORT.</w:t>
            </w:r>
          </w:p>
        </w:tc>
        <w:tc>
          <w:tcPr>
            <w:tcW w:w="4152" w:type="dxa"/>
          </w:tcPr>
          <w:p w14:paraId="2CDFA8EA" w14:textId="77777777" w:rsidR="00D2501A" w:rsidRPr="00800578" w:rsidRDefault="009825B4" w:rsidP="006371E6">
            <w:pPr>
              <w:spacing w:after="120" w:line="276" w:lineRule="auto"/>
              <w:rPr>
                <w:rFonts w:ascii="Verdana" w:eastAsia="Times New Roman" w:hAnsi="Verdana" w:cs="Times New Roman"/>
                <w:color w:val="auto"/>
                <w:spacing w:val="0"/>
                <w:szCs w:val="20"/>
                <w:lang w:eastAsia="pl-PL"/>
              </w:rPr>
            </w:pPr>
            <w:r w:rsidRPr="00800578">
              <w:rPr>
                <w:rFonts w:ascii="Verdana" w:eastAsia="Times New Roman" w:hAnsi="Verdana" w:cs="Times New Roman"/>
                <w:color w:val="auto"/>
                <w:spacing w:val="0"/>
                <w:szCs w:val="20"/>
                <w:lang w:eastAsia="pl-PL"/>
              </w:rPr>
              <w:t>3. If any Confidential Information is disclosed, the Receiving Party shall do its best to (</w:t>
            </w:r>
            <w:proofErr w:type="spellStart"/>
            <w:r w:rsidRPr="00800578">
              <w:rPr>
                <w:rFonts w:ascii="Verdana" w:eastAsia="Times New Roman" w:hAnsi="Verdana" w:cs="Times New Roman"/>
                <w:color w:val="auto"/>
                <w:spacing w:val="0"/>
                <w:szCs w:val="20"/>
                <w:lang w:eastAsia="pl-PL"/>
              </w:rPr>
              <w:t>i</w:t>
            </w:r>
            <w:proofErr w:type="spellEnd"/>
            <w:r w:rsidRPr="00800578">
              <w:rPr>
                <w:rFonts w:ascii="Verdana" w:eastAsia="Times New Roman" w:hAnsi="Verdana" w:cs="Times New Roman"/>
                <w:color w:val="auto"/>
                <w:spacing w:val="0"/>
                <w:szCs w:val="20"/>
                <w:lang w:eastAsia="pl-PL"/>
              </w:rPr>
              <w:t xml:space="preserve">) notify the third parties of the confidential nature of such information and of the ownership rights of ŁUKASIEWICZ-PORT, (ii) notify ŁUKASIEWICZ-PORT of the disclosure, (iii) prevent any further disclosure, and (iv) request that the disclosed information and its copies, private notes and any correspondence related to the disclosed confidential information be returned, without prejudice to any claims which might be made by ŁUKASIEWICZ-PORT. </w:t>
            </w:r>
          </w:p>
        </w:tc>
      </w:tr>
      <w:tr w:rsidR="00D2501A" w:rsidRPr="00800578" w14:paraId="0BA8E970" w14:textId="77777777" w:rsidTr="007D510B">
        <w:tc>
          <w:tcPr>
            <w:tcW w:w="4151" w:type="dxa"/>
          </w:tcPr>
          <w:p w14:paraId="460EF8E4" w14:textId="77777777" w:rsidR="00D2501A" w:rsidRPr="00800578" w:rsidRDefault="00EC18B9" w:rsidP="006371E6">
            <w:pPr>
              <w:spacing w:after="120" w:line="276" w:lineRule="auto"/>
              <w:rPr>
                <w:b/>
                <w:color w:val="auto"/>
                <w:szCs w:val="20"/>
                <w:lang w:val="pl-PL"/>
              </w:rPr>
            </w:pPr>
            <w:r w:rsidRPr="00800578">
              <w:rPr>
                <w:color w:val="auto"/>
                <w:szCs w:val="20"/>
                <w:lang w:val="pl-PL"/>
              </w:rPr>
              <w:t>4.</w:t>
            </w:r>
            <w:r w:rsidRPr="00800578">
              <w:rPr>
                <w:b/>
                <w:color w:val="auto"/>
                <w:szCs w:val="20"/>
                <w:lang w:val="pl-PL"/>
              </w:rPr>
              <w:t xml:space="preserve"> </w:t>
            </w:r>
            <w:r w:rsidRPr="00800578">
              <w:rPr>
                <w:rFonts w:ascii="Verdana" w:hAnsi="Verdana" w:cs="Calibri Light"/>
                <w:szCs w:val="20"/>
                <w:lang w:val="pl-PL"/>
              </w:rPr>
              <w:t>Umowa nie przyznaje Odbiorcy żadnych praw licencyjnych do produkcji, dystrybucji lub komercjalizacji produktów zawierających dowolną część Informacji Poufnych, chyba że Strony zawrą odrębną umowę licencyjną.</w:t>
            </w:r>
          </w:p>
        </w:tc>
        <w:tc>
          <w:tcPr>
            <w:tcW w:w="4152" w:type="dxa"/>
          </w:tcPr>
          <w:p w14:paraId="476F15EC" w14:textId="77777777" w:rsidR="00D2501A" w:rsidRPr="00800578" w:rsidRDefault="009825B4" w:rsidP="006371E6">
            <w:pPr>
              <w:spacing w:after="120" w:line="276" w:lineRule="auto"/>
              <w:rPr>
                <w:rFonts w:ascii="Verdana" w:eastAsia="Times New Roman" w:hAnsi="Verdana" w:cs="Calibri Light"/>
                <w:color w:val="auto"/>
                <w:spacing w:val="0"/>
                <w:szCs w:val="20"/>
                <w:lang w:eastAsia="pl-PL"/>
              </w:rPr>
            </w:pPr>
            <w:r w:rsidRPr="00800578">
              <w:rPr>
                <w:rFonts w:ascii="Verdana" w:eastAsia="Times New Roman" w:hAnsi="Verdana" w:cs="Times New Roman"/>
                <w:color w:val="auto"/>
                <w:spacing w:val="0"/>
                <w:szCs w:val="20"/>
                <w:lang w:eastAsia="pl-PL"/>
              </w:rPr>
              <w:t>4. This Agreement shall not grant the Receiving Party any licensing rights to produce, distribute or commercialise any products which could rely on any part of the Confidential Information, unless the Parties have entered into a separate licensing agreement.</w:t>
            </w:r>
          </w:p>
        </w:tc>
      </w:tr>
      <w:tr w:rsidR="00D2501A" w:rsidRPr="00800578" w14:paraId="44E7CC18" w14:textId="77777777" w:rsidTr="007D510B">
        <w:tc>
          <w:tcPr>
            <w:tcW w:w="4151" w:type="dxa"/>
          </w:tcPr>
          <w:p w14:paraId="6A1013F9" w14:textId="77777777" w:rsidR="00D2501A" w:rsidRPr="00800578" w:rsidRDefault="00EC18B9" w:rsidP="006371E6">
            <w:pPr>
              <w:spacing w:after="120" w:line="276" w:lineRule="auto"/>
              <w:jc w:val="center"/>
              <w:rPr>
                <w:b/>
                <w:color w:val="auto"/>
                <w:szCs w:val="20"/>
                <w:lang w:val="pl-PL"/>
              </w:rPr>
            </w:pPr>
            <w:r w:rsidRPr="00800578">
              <w:rPr>
                <w:rFonts w:ascii="Verdana" w:hAnsi="Verdana"/>
                <w:b/>
                <w:color w:val="auto"/>
                <w:szCs w:val="20"/>
                <w:lang w:val="pl-PL"/>
              </w:rPr>
              <w:t>ARTYKUŁ 4 – WYJĄTKI OD ZASADY POUFNOŚCI</w:t>
            </w:r>
          </w:p>
        </w:tc>
        <w:tc>
          <w:tcPr>
            <w:tcW w:w="4152" w:type="dxa"/>
          </w:tcPr>
          <w:p w14:paraId="05DB30B2" w14:textId="77777777" w:rsidR="00D2501A" w:rsidRPr="00800578" w:rsidRDefault="009825B4" w:rsidP="006371E6">
            <w:pPr>
              <w:spacing w:after="120" w:line="276" w:lineRule="auto"/>
              <w:jc w:val="center"/>
              <w:rPr>
                <w:b/>
                <w:color w:val="auto"/>
                <w:szCs w:val="20"/>
              </w:rPr>
            </w:pPr>
            <w:r w:rsidRPr="00800578">
              <w:rPr>
                <w:b/>
                <w:color w:val="auto"/>
                <w:szCs w:val="20"/>
              </w:rPr>
              <w:t>ARTICLE 4 – EXCEPTIONS TO CONFIDENTIALITY REQUIREMENTS</w:t>
            </w:r>
          </w:p>
        </w:tc>
      </w:tr>
      <w:tr w:rsidR="00D2501A" w:rsidRPr="00800578" w14:paraId="54E3815A" w14:textId="77777777" w:rsidTr="007D510B">
        <w:tc>
          <w:tcPr>
            <w:tcW w:w="4151" w:type="dxa"/>
          </w:tcPr>
          <w:p w14:paraId="0B8D8DBD" w14:textId="77777777" w:rsidR="00D2501A" w:rsidRPr="00800578" w:rsidRDefault="00EC18B9" w:rsidP="006371E6">
            <w:pPr>
              <w:spacing w:after="120" w:line="276" w:lineRule="auto"/>
              <w:rPr>
                <w:b/>
                <w:color w:val="auto"/>
                <w:szCs w:val="20"/>
                <w:lang w:val="pl-PL"/>
              </w:rPr>
            </w:pPr>
            <w:r w:rsidRPr="00800578">
              <w:rPr>
                <w:color w:val="auto"/>
                <w:szCs w:val="20"/>
                <w:lang w:val="pl-PL"/>
              </w:rPr>
              <w:t>1.</w:t>
            </w:r>
            <w:r w:rsidRPr="00800578">
              <w:rPr>
                <w:b/>
                <w:color w:val="auto"/>
                <w:szCs w:val="20"/>
                <w:lang w:val="pl-PL"/>
              </w:rPr>
              <w:t xml:space="preserve"> </w:t>
            </w:r>
            <w:r w:rsidRPr="00800578">
              <w:rPr>
                <w:rFonts w:ascii="Verdana" w:hAnsi="Verdana"/>
                <w:szCs w:val="20"/>
                <w:lang w:val="pl-PL"/>
              </w:rPr>
              <w:t>Obowiązki nałożone na Odbiorcę na mocy Umowy nie mają zastosowania do informacji, która:</w:t>
            </w:r>
          </w:p>
        </w:tc>
        <w:tc>
          <w:tcPr>
            <w:tcW w:w="4152" w:type="dxa"/>
          </w:tcPr>
          <w:p w14:paraId="5083370B" w14:textId="77777777" w:rsidR="00D2501A" w:rsidRPr="00800578" w:rsidRDefault="00F06973" w:rsidP="006371E6">
            <w:pPr>
              <w:spacing w:after="120" w:line="276" w:lineRule="auto"/>
              <w:ind w:left="102"/>
              <w:rPr>
                <w:color w:val="auto"/>
                <w:szCs w:val="20"/>
              </w:rPr>
            </w:pPr>
            <w:r w:rsidRPr="00800578">
              <w:rPr>
                <w:color w:val="auto"/>
                <w:szCs w:val="20"/>
              </w:rPr>
              <w:t xml:space="preserve">1. </w:t>
            </w:r>
            <w:r w:rsidR="009825B4" w:rsidRPr="00800578">
              <w:rPr>
                <w:color w:val="auto"/>
                <w:szCs w:val="20"/>
              </w:rPr>
              <w:t>No requirements imposed hereunder on the Receiving Party shall apply to the information which:</w:t>
            </w:r>
          </w:p>
        </w:tc>
      </w:tr>
      <w:tr w:rsidR="00D2501A" w:rsidRPr="00800578" w14:paraId="1BE7136C" w14:textId="77777777" w:rsidTr="007D510B">
        <w:tc>
          <w:tcPr>
            <w:tcW w:w="4151" w:type="dxa"/>
          </w:tcPr>
          <w:p w14:paraId="36E64A2A" w14:textId="77777777" w:rsidR="00D2501A" w:rsidRPr="00800578" w:rsidRDefault="00EC18B9" w:rsidP="006371E6">
            <w:pPr>
              <w:pStyle w:val="Akapitzlist"/>
              <w:numPr>
                <w:ilvl w:val="0"/>
                <w:numId w:val="17"/>
              </w:numPr>
              <w:spacing w:after="120" w:line="276" w:lineRule="auto"/>
              <w:ind w:left="1134" w:hanging="567"/>
              <w:contextualSpacing w:val="0"/>
              <w:jc w:val="both"/>
              <w:rPr>
                <w:rFonts w:ascii="Verdana" w:hAnsi="Verdana"/>
                <w:sz w:val="20"/>
                <w:szCs w:val="20"/>
                <w:lang w:val="pl-PL"/>
              </w:rPr>
            </w:pPr>
            <w:r w:rsidRPr="00800578">
              <w:rPr>
                <w:rFonts w:ascii="Verdana" w:hAnsi="Verdana"/>
                <w:sz w:val="20"/>
                <w:szCs w:val="20"/>
                <w:lang w:val="pl-PL"/>
              </w:rPr>
              <w:t xml:space="preserve">jest znana Odbiorcy przed jej otrzymaniem od </w:t>
            </w:r>
            <w:r w:rsidRPr="00800578">
              <w:rPr>
                <w:rFonts w:ascii="Verdana" w:hAnsi="Verdana"/>
                <w:sz w:val="20"/>
                <w:szCs w:val="20"/>
                <w:lang w:val="pl-PL"/>
              </w:rPr>
              <w:lastRenderedPageBreak/>
              <w:t>ŁUKASIEWICZ – PORT i jest udokumentowana w dokumentacji sporządzonej przez Odbiorcę przed jej ujawnieniem;</w:t>
            </w:r>
          </w:p>
        </w:tc>
        <w:tc>
          <w:tcPr>
            <w:tcW w:w="4152" w:type="dxa"/>
          </w:tcPr>
          <w:p w14:paraId="3BB7F963" w14:textId="77777777" w:rsidR="00D2501A" w:rsidRPr="00800578" w:rsidRDefault="009825B4" w:rsidP="006371E6">
            <w:pPr>
              <w:pStyle w:val="Akapitzlist"/>
              <w:numPr>
                <w:ilvl w:val="0"/>
                <w:numId w:val="25"/>
              </w:numPr>
              <w:spacing w:after="120" w:line="276" w:lineRule="auto"/>
              <w:contextualSpacing w:val="0"/>
              <w:jc w:val="both"/>
              <w:rPr>
                <w:rFonts w:asciiTheme="minorHAnsi" w:hAnsiTheme="minorHAnsi"/>
                <w:sz w:val="20"/>
                <w:szCs w:val="20"/>
              </w:rPr>
            </w:pPr>
            <w:r w:rsidRPr="00800578">
              <w:rPr>
                <w:rFonts w:asciiTheme="minorHAnsi" w:hAnsiTheme="minorHAnsi"/>
                <w:sz w:val="20"/>
                <w:szCs w:val="20"/>
              </w:rPr>
              <w:lastRenderedPageBreak/>
              <w:t xml:space="preserve">has been known to the Receiving Party before it </w:t>
            </w:r>
            <w:r w:rsidRPr="00800578">
              <w:rPr>
                <w:rFonts w:asciiTheme="minorHAnsi" w:hAnsiTheme="minorHAnsi"/>
                <w:sz w:val="20"/>
                <w:szCs w:val="20"/>
              </w:rPr>
              <w:lastRenderedPageBreak/>
              <w:t>was communicated by ŁUKASIEWICZ-PORT, and this is supported by relevant documents produced by the Receiving Party before its disclosure;</w:t>
            </w:r>
          </w:p>
        </w:tc>
      </w:tr>
      <w:tr w:rsidR="00D2501A" w:rsidRPr="00800578" w14:paraId="77133494" w14:textId="77777777" w:rsidTr="007D510B">
        <w:tc>
          <w:tcPr>
            <w:tcW w:w="4151" w:type="dxa"/>
          </w:tcPr>
          <w:p w14:paraId="0AE0E284" w14:textId="77777777" w:rsidR="00D2501A" w:rsidRPr="00800578" w:rsidRDefault="00EC18B9" w:rsidP="006371E6">
            <w:pPr>
              <w:pStyle w:val="Akapitzlist"/>
              <w:numPr>
                <w:ilvl w:val="0"/>
                <w:numId w:val="25"/>
              </w:numPr>
              <w:spacing w:after="120" w:line="276" w:lineRule="auto"/>
              <w:ind w:left="1134" w:hanging="567"/>
              <w:contextualSpacing w:val="0"/>
              <w:jc w:val="both"/>
              <w:rPr>
                <w:rFonts w:ascii="Verdana" w:hAnsi="Verdana"/>
                <w:sz w:val="20"/>
                <w:szCs w:val="20"/>
                <w:lang w:val="pl-PL"/>
              </w:rPr>
            </w:pPr>
            <w:r w:rsidRPr="00800578">
              <w:rPr>
                <w:rFonts w:ascii="Verdana" w:hAnsi="Verdana"/>
                <w:sz w:val="20"/>
                <w:szCs w:val="20"/>
                <w:lang w:val="pl-PL"/>
              </w:rPr>
              <w:lastRenderedPageBreak/>
              <w:t>jest obecnie lub później stanie się ogólnie dostępna dla społeczeństwa poprzez publikację lub w inny sposób poprzez brak działania lub zaniechanie działania przez Odbiorcę;</w:t>
            </w:r>
          </w:p>
        </w:tc>
        <w:tc>
          <w:tcPr>
            <w:tcW w:w="4152" w:type="dxa"/>
          </w:tcPr>
          <w:p w14:paraId="705E91FB" w14:textId="77777777" w:rsidR="00D2501A" w:rsidRPr="00800578" w:rsidRDefault="009825B4" w:rsidP="006371E6">
            <w:pPr>
              <w:pStyle w:val="Akapitzlist"/>
              <w:numPr>
                <w:ilvl w:val="0"/>
                <w:numId w:val="17"/>
              </w:numPr>
              <w:spacing w:after="120" w:line="276" w:lineRule="auto"/>
              <w:ind w:left="1134" w:hanging="567"/>
              <w:contextualSpacing w:val="0"/>
              <w:jc w:val="both"/>
              <w:rPr>
                <w:rFonts w:asciiTheme="minorHAnsi" w:hAnsiTheme="minorHAnsi"/>
                <w:sz w:val="20"/>
                <w:szCs w:val="20"/>
              </w:rPr>
            </w:pPr>
            <w:r w:rsidRPr="00800578">
              <w:rPr>
                <w:rFonts w:asciiTheme="minorHAnsi" w:hAnsiTheme="minorHAnsi"/>
                <w:sz w:val="20"/>
                <w:szCs w:val="20"/>
              </w:rPr>
              <w:t>is or will become publicly available as a result of its publication or otherwise through omission or resigning from action by the Receiving Party;</w:t>
            </w:r>
          </w:p>
        </w:tc>
      </w:tr>
      <w:tr w:rsidR="00D2501A" w:rsidRPr="00800578" w14:paraId="6F87BC66" w14:textId="77777777" w:rsidTr="007D510B">
        <w:tc>
          <w:tcPr>
            <w:tcW w:w="4151" w:type="dxa"/>
          </w:tcPr>
          <w:p w14:paraId="36D50F45" w14:textId="77777777" w:rsidR="00D2501A" w:rsidRPr="00800578" w:rsidRDefault="00EC18B9" w:rsidP="006371E6">
            <w:pPr>
              <w:pStyle w:val="Akapitzlist"/>
              <w:numPr>
                <w:ilvl w:val="0"/>
                <w:numId w:val="25"/>
              </w:numPr>
              <w:spacing w:after="120" w:line="276" w:lineRule="auto"/>
              <w:ind w:left="1134" w:hanging="567"/>
              <w:contextualSpacing w:val="0"/>
              <w:jc w:val="both"/>
              <w:rPr>
                <w:rFonts w:ascii="Verdana" w:hAnsi="Verdana"/>
                <w:sz w:val="20"/>
                <w:szCs w:val="20"/>
                <w:lang w:val="pl-PL"/>
              </w:rPr>
            </w:pPr>
            <w:r w:rsidRPr="00800578">
              <w:rPr>
                <w:rFonts w:ascii="Verdana" w:hAnsi="Verdana"/>
                <w:sz w:val="20"/>
                <w:szCs w:val="20"/>
                <w:lang w:val="pl-PL"/>
              </w:rPr>
              <w:t>ma być ujawniona w celu wykonania przepisów prawa, wniosku organu administracyjnego lub organu nadzorującego, innego dokumentu wydanego przez organ administracji rządowej lub nakazu sądowego;</w:t>
            </w:r>
          </w:p>
        </w:tc>
        <w:tc>
          <w:tcPr>
            <w:tcW w:w="4152" w:type="dxa"/>
          </w:tcPr>
          <w:p w14:paraId="26B7AD80" w14:textId="77777777" w:rsidR="00D2501A" w:rsidRPr="00800578" w:rsidRDefault="009825B4" w:rsidP="006371E6">
            <w:pPr>
              <w:pStyle w:val="Akapitzlist"/>
              <w:numPr>
                <w:ilvl w:val="0"/>
                <w:numId w:val="17"/>
              </w:numPr>
              <w:spacing w:after="120" w:line="276" w:lineRule="auto"/>
              <w:ind w:left="1134" w:hanging="567"/>
              <w:contextualSpacing w:val="0"/>
              <w:jc w:val="both"/>
              <w:rPr>
                <w:rFonts w:asciiTheme="minorHAnsi" w:hAnsiTheme="minorHAnsi"/>
                <w:sz w:val="20"/>
                <w:szCs w:val="20"/>
              </w:rPr>
            </w:pPr>
            <w:r w:rsidRPr="00800578">
              <w:rPr>
                <w:rFonts w:asciiTheme="minorHAnsi" w:hAnsiTheme="minorHAnsi"/>
                <w:sz w:val="20"/>
                <w:szCs w:val="20"/>
              </w:rPr>
              <w:t>is to be disclosed for the purposes of compliance with the law, a request by any administrative or supervisory authority, or any other document issued by any government administration or court order;</w:t>
            </w:r>
          </w:p>
        </w:tc>
      </w:tr>
      <w:tr w:rsidR="00EC18B9" w:rsidRPr="00800578" w14:paraId="20A20635" w14:textId="77777777" w:rsidTr="007D510B">
        <w:tc>
          <w:tcPr>
            <w:tcW w:w="4151" w:type="dxa"/>
          </w:tcPr>
          <w:p w14:paraId="45537809" w14:textId="77777777" w:rsidR="00EC18B9" w:rsidRPr="00800578" w:rsidRDefault="00EC18B9" w:rsidP="006371E6">
            <w:pPr>
              <w:pStyle w:val="Akapitzlist"/>
              <w:numPr>
                <w:ilvl w:val="0"/>
                <w:numId w:val="25"/>
              </w:numPr>
              <w:spacing w:after="120" w:line="276" w:lineRule="auto"/>
              <w:ind w:left="1134" w:hanging="567"/>
              <w:contextualSpacing w:val="0"/>
              <w:jc w:val="both"/>
              <w:rPr>
                <w:rFonts w:ascii="Verdana" w:hAnsi="Verdana" w:cs="Calibri Light"/>
                <w:sz w:val="20"/>
                <w:szCs w:val="20"/>
                <w:lang w:val="pl-PL"/>
              </w:rPr>
            </w:pPr>
            <w:r w:rsidRPr="00800578">
              <w:rPr>
                <w:rFonts w:ascii="Verdana" w:hAnsi="Verdana" w:cs="Calibri Light"/>
                <w:sz w:val="20"/>
                <w:szCs w:val="20"/>
                <w:lang w:val="pl-PL"/>
              </w:rPr>
              <w:t>ma być ujawniona po uzyskaniu pisemnej zgody Strony Ujawniającej;</w:t>
            </w:r>
          </w:p>
        </w:tc>
        <w:tc>
          <w:tcPr>
            <w:tcW w:w="4152" w:type="dxa"/>
          </w:tcPr>
          <w:p w14:paraId="2E30C929" w14:textId="77777777" w:rsidR="00EC18B9" w:rsidRPr="00800578" w:rsidRDefault="009825B4" w:rsidP="006371E6">
            <w:pPr>
              <w:pStyle w:val="Akapitzlist"/>
              <w:numPr>
                <w:ilvl w:val="0"/>
                <w:numId w:val="17"/>
              </w:numPr>
              <w:spacing w:after="120" w:line="276" w:lineRule="auto"/>
              <w:ind w:left="1134" w:hanging="567"/>
              <w:contextualSpacing w:val="0"/>
              <w:jc w:val="both"/>
              <w:rPr>
                <w:rFonts w:asciiTheme="minorHAnsi" w:hAnsiTheme="minorHAnsi" w:cs="Calibri Light"/>
                <w:sz w:val="20"/>
                <w:szCs w:val="20"/>
              </w:rPr>
            </w:pPr>
            <w:r w:rsidRPr="00800578">
              <w:rPr>
                <w:rFonts w:asciiTheme="minorHAnsi" w:hAnsiTheme="minorHAnsi"/>
                <w:sz w:val="20"/>
                <w:szCs w:val="20"/>
              </w:rPr>
              <w:t>is to be disclosed following written authorisation from the Disclosing Party;</w:t>
            </w:r>
          </w:p>
        </w:tc>
      </w:tr>
      <w:tr w:rsidR="00EC18B9" w:rsidRPr="00800578" w14:paraId="5D0C84F7" w14:textId="77777777" w:rsidTr="007D510B">
        <w:tc>
          <w:tcPr>
            <w:tcW w:w="4151" w:type="dxa"/>
          </w:tcPr>
          <w:p w14:paraId="02D4F0B4" w14:textId="77777777" w:rsidR="00EC18B9" w:rsidRPr="00800578" w:rsidRDefault="00EC18B9" w:rsidP="006371E6">
            <w:pPr>
              <w:pStyle w:val="Akapitzlist"/>
              <w:numPr>
                <w:ilvl w:val="0"/>
                <w:numId w:val="25"/>
              </w:numPr>
              <w:spacing w:after="120" w:line="276" w:lineRule="auto"/>
              <w:ind w:left="1134" w:hanging="567"/>
              <w:contextualSpacing w:val="0"/>
              <w:jc w:val="both"/>
              <w:rPr>
                <w:rFonts w:ascii="Verdana" w:hAnsi="Verdana" w:cs="Calibri Light"/>
                <w:sz w:val="20"/>
                <w:szCs w:val="20"/>
                <w:lang w:val="pl-PL"/>
              </w:rPr>
            </w:pPr>
            <w:r w:rsidRPr="00800578">
              <w:rPr>
                <w:rFonts w:ascii="Verdana" w:hAnsi="Verdana" w:cs="Calibri Light"/>
                <w:sz w:val="20"/>
                <w:szCs w:val="20"/>
                <w:lang w:val="pl-PL"/>
              </w:rPr>
              <w:t>została niezależnie opracowana bez użycia lub korzystania z Informacji Poufnych będących przedmiotem Umowy i bez naruszania Umowy.</w:t>
            </w:r>
          </w:p>
        </w:tc>
        <w:tc>
          <w:tcPr>
            <w:tcW w:w="4152" w:type="dxa"/>
          </w:tcPr>
          <w:p w14:paraId="3E22EDE0" w14:textId="77777777" w:rsidR="00EC18B9" w:rsidRPr="00800578" w:rsidRDefault="009825B4" w:rsidP="006371E6">
            <w:pPr>
              <w:pStyle w:val="Akapitzlist"/>
              <w:numPr>
                <w:ilvl w:val="0"/>
                <w:numId w:val="17"/>
              </w:numPr>
              <w:spacing w:after="120" w:line="276" w:lineRule="auto"/>
              <w:ind w:left="1134" w:hanging="567"/>
              <w:contextualSpacing w:val="0"/>
              <w:jc w:val="both"/>
              <w:rPr>
                <w:rFonts w:asciiTheme="minorHAnsi" w:hAnsiTheme="minorHAnsi" w:cs="Calibri Light"/>
                <w:sz w:val="20"/>
                <w:szCs w:val="20"/>
              </w:rPr>
            </w:pPr>
            <w:r w:rsidRPr="00800578">
              <w:rPr>
                <w:rFonts w:asciiTheme="minorHAnsi" w:hAnsiTheme="minorHAnsi"/>
                <w:sz w:val="20"/>
                <w:szCs w:val="20"/>
              </w:rPr>
              <w:t>has been developed independently, without relying on or using any Confidential Information which might have been disclosed hereunder, and without any breach hereof.</w:t>
            </w:r>
          </w:p>
        </w:tc>
      </w:tr>
      <w:tr w:rsidR="00EC18B9" w:rsidRPr="00800578" w14:paraId="21EAF88B" w14:textId="77777777" w:rsidTr="007D510B">
        <w:tc>
          <w:tcPr>
            <w:tcW w:w="4151" w:type="dxa"/>
          </w:tcPr>
          <w:p w14:paraId="4455D95D" w14:textId="77777777" w:rsidR="00EC18B9" w:rsidRPr="00800578" w:rsidRDefault="00814D01" w:rsidP="006371E6">
            <w:pPr>
              <w:spacing w:after="120" w:line="276" w:lineRule="auto"/>
              <w:rPr>
                <w:rFonts w:ascii="Verdana" w:hAnsi="Verdana"/>
                <w:szCs w:val="20"/>
                <w:lang w:val="pl-PL"/>
              </w:rPr>
            </w:pPr>
            <w:r w:rsidRPr="00800578">
              <w:rPr>
                <w:rFonts w:ascii="Verdana" w:hAnsi="Verdana"/>
                <w:szCs w:val="20"/>
                <w:lang w:val="pl-PL"/>
              </w:rPr>
              <w:t xml:space="preserve">2. </w:t>
            </w:r>
            <w:r w:rsidR="00EC18B9" w:rsidRPr="00800578">
              <w:rPr>
                <w:rFonts w:ascii="Verdana" w:hAnsi="Verdana"/>
                <w:szCs w:val="20"/>
                <w:lang w:val="pl-PL"/>
              </w:rPr>
              <w:t>Na Odbiorcy spoczywa ciężar udowodnienia któregokolwiek z powyższych wyjątków.</w:t>
            </w:r>
          </w:p>
          <w:p w14:paraId="2C809243" w14:textId="77777777" w:rsidR="00EC18B9" w:rsidRPr="00800578" w:rsidRDefault="00EC18B9" w:rsidP="006371E6">
            <w:pPr>
              <w:spacing w:after="120" w:line="276" w:lineRule="auto"/>
              <w:ind w:left="567"/>
              <w:rPr>
                <w:rFonts w:ascii="Verdana" w:hAnsi="Verdana"/>
                <w:szCs w:val="20"/>
                <w:lang w:val="pl-PL"/>
              </w:rPr>
            </w:pPr>
          </w:p>
        </w:tc>
        <w:tc>
          <w:tcPr>
            <w:tcW w:w="4152" w:type="dxa"/>
          </w:tcPr>
          <w:p w14:paraId="5B77E722" w14:textId="77777777" w:rsidR="00EC18B9" w:rsidRPr="00800578" w:rsidRDefault="009825B4" w:rsidP="006371E6">
            <w:pPr>
              <w:spacing w:after="120" w:line="276" w:lineRule="auto"/>
              <w:rPr>
                <w:color w:val="auto"/>
                <w:szCs w:val="20"/>
              </w:rPr>
            </w:pPr>
            <w:r w:rsidRPr="00800578">
              <w:rPr>
                <w:szCs w:val="20"/>
              </w:rPr>
              <w:t>2. It is the Receiving Party who shall be responsible for providing evidence to support any of the above-mentioned exceptions, as the case might be.</w:t>
            </w:r>
          </w:p>
        </w:tc>
      </w:tr>
      <w:tr w:rsidR="00EC18B9" w:rsidRPr="00800578" w14:paraId="4BC32F91" w14:textId="77777777" w:rsidTr="007D510B">
        <w:tc>
          <w:tcPr>
            <w:tcW w:w="4151" w:type="dxa"/>
          </w:tcPr>
          <w:p w14:paraId="4E4DA345" w14:textId="77777777" w:rsidR="00EC18B9" w:rsidRPr="00800578" w:rsidRDefault="00814D01" w:rsidP="006371E6">
            <w:pPr>
              <w:spacing w:after="120" w:line="276" w:lineRule="auto"/>
              <w:rPr>
                <w:rFonts w:ascii="Verdana" w:hAnsi="Verdana"/>
                <w:szCs w:val="20"/>
                <w:lang w:val="pl-PL"/>
              </w:rPr>
            </w:pPr>
            <w:r w:rsidRPr="00800578">
              <w:rPr>
                <w:rFonts w:ascii="Verdana" w:hAnsi="Verdana"/>
                <w:szCs w:val="20"/>
                <w:lang w:val="pl-PL"/>
              </w:rPr>
              <w:t xml:space="preserve">3. W przypadku, gdy w okresie obowiązywania Umowy od Odbiorcy wymaga się ujawnienia Poufnych Informacji w celu wykonania przepisów prawa, wniosku organu </w:t>
            </w:r>
            <w:r w:rsidRPr="00800578">
              <w:rPr>
                <w:rFonts w:ascii="Verdana" w:hAnsi="Verdana"/>
                <w:szCs w:val="20"/>
                <w:lang w:val="pl-PL"/>
              </w:rPr>
              <w:lastRenderedPageBreak/>
              <w:t>administracyjnego lub organu nadzorującego, innego dokumentu wydanego przez organ administracji rządowej lub nakazu sądowego, Odbiorca niezwłocznie zawiadomi ŁUKASIEWICZ – PORT</w:t>
            </w:r>
            <w:r w:rsidRPr="00800578" w:rsidDel="00415A3D">
              <w:rPr>
                <w:rFonts w:ascii="Verdana" w:hAnsi="Verdana"/>
                <w:szCs w:val="20"/>
                <w:lang w:val="pl-PL"/>
              </w:rPr>
              <w:t xml:space="preserve"> </w:t>
            </w:r>
            <w:r w:rsidRPr="00800578">
              <w:rPr>
                <w:rFonts w:ascii="Verdana" w:hAnsi="Verdana"/>
                <w:szCs w:val="20"/>
                <w:lang w:val="pl-PL"/>
              </w:rPr>
              <w:t>o takim wymogu, tak aby ŁUKASIEWICZ – PORT mógł domagać się ochrony lub innych odpowiednich środków i odstąpić od przestrzegania warunków Umowy. Na Odbiorcy spoczywa ciężar dowodu wykazania, że ujawnienie to było konieczne.</w:t>
            </w:r>
          </w:p>
        </w:tc>
        <w:tc>
          <w:tcPr>
            <w:tcW w:w="4152" w:type="dxa"/>
          </w:tcPr>
          <w:p w14:paraId="137D5F71" w14:textId="77777777" w:rsidR="00EC18B9" w:rsidRPr="00800578" w:rsidRDefault="009825B4" w:rsidP="006371E6">
            <w:pPr>
              <w:spacing w:after="120" w:line="276" w:lineRule="auto"/>
              <w:rPr>
                <w:szCs w:val="20"/>
              </w:rPr>
            </w:pPr>
            <w:r w:rsidRPr="00800578">
              <w:rPr>
                <w:szCs w:val="20"/>
              </w:rPr>
              <w:lastRenderedPageBreak/>
              <w:t xml:space="preserve">3. If, during the term of the Agreement, the Receiving Party is required to disclose any Confidential Information for the purposes of compliance with the law, a request </w:t>
            </w:r>
            <w:r w:rsidRPr="00800578">
              <w:rPr>
                <w:szCs w:val="20"/>
              </w:rPr>
              <w:lastRenderedPageBreak/>
              <w:t>by any administrative or supervisory authority, any other document issued by any government administration or court order, the Receiving Party shall immediately notify ŁUKASIEWICZ-PORT of such requirement, so that ŁUKASIEWICZ-PORT can claim protection or other reasonable action, or waive the application of any provisions hereof.  It is the Receiving Party who shall be responsible for demonstrating that such disclosure was necessary.</w:t>
            </w:r>
          </w:p>
        </w:tc>
      </w:tr>
      <w:tr w:rsidR="00EC18B9" w:rsidRPr="00800578" w14:paraId="42856A68" w14:textId="77777777" w:rsidTr="007D510B">
        <w:tc>
          <w:tcPr>
            <w:tcW w:w="4151" w:type="dxa"/>
          </w:tcPr>
          <w:p w14:paraId="1A04AC63" w14:textId="77777777" w:rsidR="00EC18B9" w:rsidRPr="00800578" w:rsidRDefault="00814D01" w:rsidP="006371E6">
            <w:pPr>
              <w:spacing w:after="120" w:line="276" w:lineRule="auto"/>
              <w:ind w:left="567"/>
              <w:jc w:val="center"/>
              <w:rPr>
                <w:rFonts w:ascii="Verdana" w:hAnsi="Verdana"/>
                <w:szCs w:val="20"/>
                <w:lang w:val="pl-PL"/>
              </w:rPr>
            </w:pPr>
            <w:r w:rsidRPr="00800578">
              <w:rPr>
                <w:rFonts w:ascii="Verdana" w:hAnsi="Verdana"/>
                <w:b/>
                <w:color w:val="auto"/>
                <w:szCs w:val="20"/>
                <w:lang w:val="pl-PL"/>
              </w:rPr>
              <w:lastRenderedPageBreak/>
              <w:t>ARTYKUŁ 5 – OGRANICZENIA I GWARANCJE</w:t>
            </w:r>
          </w:p>
        </w:tc>
        <w:tc>
          <w:tcPr>
            <w:tcW w:w="4152" w:type="dxa"/>
          </w:tcPr>
          <w:p w14:paraId="40561C38" w14:textId="77777777" w:rsidR="00EC18B9" w:rsidRPr="00800578" w:rsidRDefault="009825B4" w:rsidP="006371E6">
            <w:pPr>
              <w:spacing w:after="120" w:line="276" w:lineRule="auto"/>
              <w:jc w:val="center"/>
              <w:rPr>
                <w:b/>
                <w:color w:val="auto"/>
                <w:szCs w:val="20"/>
              </w:rPr>
            </w:pPr>
            <w:r w:rsidRPr="00800578">
              <w:rPr>
                <w:b/>
                <w:color w:val="auto"/>
                <w:szCs w:val="20"/>
              </w:rPr>
              <w:t>ARTICLE 5 – REPRESENTATIONS AND WARRANTIES</w:t>
            </w:r>
          </w:p>
        </w:tc>
      </w:tr>
      <w:tr w:rsidR="00EC18B9" w:rsidRPr="00800578" w14:paraId="0F104158" w14:textId="77777777" w:rsidTr="007D510B">
        <w:tc>
          <w:tcPr>
            <w:tcW w:w="4151" w:type="dxa"/>
          </w:tcPr>
          <w:p w14:paraId="134FFE5C" w14:textId="77777777" w:rsidR="00814D01" w:rsidRPr="00800578" w:rsidRDefault="00814D01" w:rsidP="006371E6">
            <w:pPr>
              <w:spacing w:after="120" w:line="276" w:lineRule="auto"/>
              <w:rPr>
                <w:rFonts w:ascii="Verdana" w:eastAsia="Verdana" w:hAnsi="Verdana" w:cs="Times New Roman"/>
                <w:color w:val="auto"/>
                <w:szCs w:val="20"/>
                <w:lang w:val="pl-PL"/>
              </w:rPr>
            </w:pPr>
            <w:r w:rsidRPr="00800578">
              <w:rPr>
                <w:rFonts w:ascii="Verdana" w:eastAsia="Verdana" w:hAnsi="Verdana" w:cs="Times New Roman"/>
                <w:color w:val="auto"/>
                <w:szCs w:val="20"/>
                <w:lang w:val="pl-PL"/>
              </w:rPr>
              <w:t>Odbiorca zobowiązuje się do :</w:t>
            </w:r>
          </w:p>
          <w:p w14:paraId="7EDDDC72" w14:textId="77777777" w:rsidR="00EC18B9" w:rsidRPr="00800578" w:rsidRDefault="00814D01" w:rsidP="006371E6">
            <w:pPr>
              <w:spacing w:after="120" w:line="276" w:lineRule="auto"/>
              <w:ind w:left="567"/>
              <w:rPr>
                <w:rFonts w:ascii="Verdana" w:hAnsi="Verdana"/>
                <w:szCs w:val="20"/>
                <w:lang w:val="pl-PL"/>
              </w:rPr>
            </w:pPr>
            <w:r w:rsidRPr="00800578">
              <w:rPr>
                <w:rFonts w:ascii="Verdana" w:eastAsia="Verdana" w:hAnsi="Verdana" w:cs="Times New Roman"/>
                <w:color w:val="000000"/>
                <w:szCs w:val="20"/>
                <w:lang w:val="pl-PL"/>
              </w:rPr>
              <w:t>a) nieujawniania Informacji Poufnych ŁUKASIEWICZ – PORT, w całości lub w części, żadnej stronie trzeciej;</w:t>
            </w:r>
          </w:p>
        </w:tc>
        <w:tc>
          <w:tcPr>
            <w:tcW w:w="4152" w:type="dxa"/>
          </w:tcPr>
          <w:p w14:paraId="205EF721" w14:textId="77777777" w:rsidR="00EC18B9" w:rsidRPr="00800578" w:rsidRDefault="009825B4" w:rsidP="006371E6">
            <w:pPr>
              <w:spacing w:after="120" w:line="276" w:lineRule="auto"/>
              <w:jc w:val="center"/>
              <w:rPr>
                <w:color w:val="auto"/>
                <w:szCs w:val="20"/>
              </w:rPr>
            </w:pPr>
            <w:r w:rsidRPr="00800578">
              <w:rPr>
                <w:color w:val="auto"/>
                <w:szCs w:val="20"/>
              </w:rPr>
              <w:t>The Receiving Party shall:</w:t>
            </w:r>
          </w:p>
          <w:p w14:paraId="763B6E3F" w14:textId="77777777" w:rsidR="009825B4" w:rsidRPr="00800578" w:rsidRDefault="009825B4" w:rsidP="006371E6">
            <w:pPr>
              <w:numPr>
                <w:ilvl w:val="0"/>
                <w:numId w:val="21"/>
              </w:numPr>
              <w:spacing w:after="120" w:line="276" w:lineRule="auto"/>
              <w:rPr>
                <w:color w:val="auto"/>
                <w:szCs w:val="20"/>
              </w:rPr>
            </w:pPr>
            <w:r w:rsidRPr="00800578">
              <w:rPr>
                <w:color w:val="auto"/>
                <w:szCs w:val="20"/>
              </w:rPr>
              <w:t xml:space="preserve">not disclose any Confidential Information of ŁUKASIEWICZ-PORT, whether in part or in full, to any third party; </w:t>
            </w:r>
          </w:p>
          <w:p w14:paraId="61016F1B" w14:textId="77777777" w:rsidR="009825B4" w:rsidRPr="00800578" w:rsidRDefault="009825B4" w:rsidP="006371E6">
            <w:pPr>
              <w:spacing w:after="120" w:line="276" w:lineRule="auto"/>
              <w:jc w:val="center"/>
              <w:rPr>
                <w:color w:val="auto"/>
                <w:szCs w:val="20"/>
              </w:rPr>
            </w:pPr>
          </w:p>
        </w:tc>
      </w:tr>
      <w:tr w:rsidR="00EC18B9" w:rsidRPr="00800578" w14:paraId="45265E70" w14:textId="77777777" w:rsidTr="007D510B">
        <w:tc>
          <w:tcPr>
            <w:tcW w:w="4151" w:type="dxa"/>
          </w:tcPr>
          <w:p w14:paraId="7DA77AF9" w14:textId="77777777" w:rsidR="00EC18B9" w:rsidRPr="00800578" w:rsidRDefault="00814D01" w:rsidP="006371E6">
            <w:pPr>
              <w:spacing w:after="120" w:line="276" w:lineRule="auto"/>
              <w:ind w:left="567"/>
              <w:rPr>
                <w:rFonts w:ascii="Verdana" w:hAnsi="Verdana"/>
                <w:szCs w:val="20"/>
                <w:lang w:val="pl-PL"/>
              </w:rPr>
            </w:pPr>
            <w:r w:rsidRPr="00800578">
              <w:rPr>
                <w:rFonts w:ascii="Verdana" w:hAnsi="Verdana"/>
                <w:szCs w:val="20"/>
                <w:lang w:val="pl-PL"/>
              </w:rPr>
              <w:t>b) niewykorzystywania Informacji Poufnych ŁUKASIEWICZ – PORT</w:t>
            </w:r>
            <w:r w:rsidRPr="00800578" w:rsidDel="00202B8C">
              <w:rPr>
                <w:rFonts w:ascii="Verdana" w:hAnsi="Verdana"/>
                <w:szCs w:val="20"/>
                <w:lang w:val="pl-PL"/>
              </w:rPr>
              <w:t xml:space="preserve"> </w:t>
            </w:r>
            <w:r w:rsidRPr="00800578">
              <w:rPr>
                <w:rFonts w:ascii="Verdana" w:hAnsi="Verdana"/>
                <w:szCs w:val="20"/>
                <w:lang w:val="pl-PL"/>
              </w:rPr>
              <w:t>do celów innych, niż określone w Umowie, bez uprzedniej pisemnej zgody ŁUKASIEWICZ – PORT.</w:t>
            </w:r>
          </w:p>
        </w:tc>
        <w:tc>
          <w:tcPr>
            <w:tcW w:w="4152" w:type="dxa"/>
          </w:tcPr>
          <w:p w14:paraId="1D259087" w14:textId="77777777" w:rsidR="00EC18B9" w:rsidRPr="00800578" w:rsidRDefault="009825B4" w:rsidP="006371E6">
            <w:pPr>
              <w:pStyle w:val="Akapitzlist"/>
              <w:numPr>
                <w:ilvl w:val="0"/>
                <w:numId w:val="21"/>
              </w:numPr>
              <w:spacing w:after="120" w:line="276" w:lineRule="auto"/>
              <w:ind w:left="811" w:hanging="244"/>
              <w:contextualSpacing w:val="0"/>
              <w:jc w:val="both"/>
              <w:rPr>
                <w:rFonts w:asciiTheme="minorHAnsi" w:hAnsiTheme="minorHAnsi"/>
                <w:sz w:val="20"/>
                <w:szCs w:val="20"/>
              </w:rPr>
            </w:pPr>
            <w:r w:rsidRPr="00800578">
              <w:rPr>
                <w:rFonts w:asciiTheme="minorHAnsi" w:hAnsiTheme="minorHAnsi"/>
                <w:sz w:val="20"/>
                <w:szCs w:val="20"/>
              </w:rPr>
              <w:t>not use any Confidential Information of ŁUKASIEWICZ-PORT for any purposes other than those explicitly described herein without prior written authorisation from ŁUKASIEWICZ-PORT.</w:t>
            </w:r>
          </w:p>
        </w:tc>
      </w:tr>
      <w:tr w:rsidR="00EC18B9" w:rsidRPr="00800578" w14:paraId="5160D2A7" w14:textId="77777777" w:rsidTr="007D510B">
        <w:tc>
          <w:tcPr>
            <w:tcW w:w="4151" w:type="dxa"/>
          </w:tcPr>
          <w:p w14:paraId="6C01CEE5" w14:textId="77777777" w:rsidR="00EC18B9" w:rsidRPr="00800578" w:rsidRDefault="00814D01" w:rsidP="00266211">
            <w:pPr>
              <w:spacing w:after="120" w:line="276" w:lineRule="auto"/>
              <w:ind w:left="37"/>
              <w:rPr>
                <w:rFonts w:ascii="Verdana" w:hAnsi="Verdana"/>
                <w:szCs w:val="20"/>
                <w:lang w:val="pl-PL"/>
              </w:rPr>
            </w:pPr>
            <w:r w:rsidRPr="00800578">
              <w:rPr>
                <w:rFonts w:ascii="Verdana" w:hAnsi="Verdana"/>
                <w:b/>
                <w:color w:val="auto"/>
                <w:szCs w:val="20"/>
                <w:lang w:val="pl-PL"/>
              </w:rPr>
              <w:t>ARTYKUŁ 6 - ZWROT INFORMACJI POUFNYCH</w:t>
            </w:r>
          </w:p>
        </w:tc>
        <w:tc>
          <w:tcPr>
            <w:tcW w:w="4152" w:type="dxa"/>
          </w:tcPr>
          <w:p w14:paraId="1C6B09BA" w14:textId="77777777" w:rsidR="00EC18B9" w:rsidRPr="00800578" w:rsidRDefault="009825B4" w:rsidP="006371E6">
            <w:pPr>
              <w:spacing w:after="120" w:line="276" w:lineRule="auto"/>
              <w:jc w:val="center"/>
              <w:rPr>
                <w:b/>
                <w:color w:val="auto"/>
                <w:szCs w:val="20"/>
              </w:rPr>
            </w:pPr>
            <w:r w:rsidRPr="00800578">
              <w:rPr>
                <w:b/>
                <w:color w:val="auto"/>
                <w:szCs w:val="20"/>
              </w:rPr>
              <w:t>ARTICLE 6 – RETURN OR DESTRUCTION OF CONFIDENTIAL INFORMATION</w:t>
            </w:r>
          </w:p>
        </w:tc>
      </w:tr>
      <w:tr w:rsidR="00EC18B9" w:rsidRPr="00800578" w14:paraId="4A48453C" w14:textId="77777777" w:rsidTr="007D510B">
        <w:tc>
          <w:tcPr>
            <w:tcW w:w="4151" w:type="dxa"/>
          </w:tcPr>
          <w:p w14:paraId="0A7E1F59" w14:textId="77777777" w:rsidR="00EC18B9" w:rsidRPr="00800578" w:rsidRDefault="00814D01" w:rsidP="00266211">
            <w:pPr>
              <w:pStyle w:val="Akapitzlist"/>
              <w:numPr>
                <w:ilvl w:val="0"/>
                <w:numId w:val="15"/>
              </w:numPr>
              <w:spacing w:after="120" w:line="276" w:lineRule="auto"/>
              <w:ind w:left="0" w:firstLine="0"/>
              <w:contextualSpacing w:val="0"/>
              <w:jc w:val="both"/>
              <w:rPr>
                <w:rFonts w:ascii="Verdana" w:hAnsi="Verdana"/>
                <w:sz w:val="20"/>
                <w:szCs w:val="20"/>
                <w:lang w:val="pl-PL"/>
              </w:rPr>
            </w:pPr>
            <w:r w:rsidRPr="00800578">
              <w:rPr>
                <w:rFonts w:ascii="Verdana" w:hAnsi="Verdana"/>
                <w:sz w:val="20"/>
                <w:szCs w:val="20"/>
                <w:lang w:val="pl-PL"/>
              </w:rPr>
              <w:t>Wszelkie Informacje Poufne ujawniane Odbiorcy zgodnie z Umową oraz wszystkie kopie, powielania lub duplikaty pozostają wyłączną własnością ŁUKASIEWICZ – PORT, bez uszczerbku dla praw osób trzecich.</w:t>
            </w:r>
          </w:p>
        </w:tc>
        <w:tc>
          <w:tcPr>
            <w:tcW w:w="4152" w:type="dxa"/>
          </w:tcPr>
          <w:p w14:paraId="2385422C" w14:textId="77777777" w:rsidR="00EC18B9" w:rsidRPr="00800578" w:rsidRDefault="009825B4" w:rsidP="006371E6">
            <w:pPr>
              <w:spacing w:after="120" w:line="276" w:lineRule="auto"/>
              <w:rPr>
                <w:szCs w:val="20"/>
              </w:rPr>
            </w:pPr>
            <w:r w:rsidRPr="00800578">
              <w:rPr>
                <w:szCs w:val="20"/>
              </w:rPr>
              <w:t>1. All Confidential Information which might have been disclosed to the Receiving Party hereunder, and any copies, reproductions and duplicates thereof shall be the property of ŁUKASIEWICZ-PORT only, without prejudice to any third party rights.</w:t>
            </w:r>
          </w:p>
        </w:tc>
      </w:tr>
      <w:tr w:rsidR="00EC18B9" w:rsidRPr="00800578" w14:paraId="7E37D64B" w14:textId="77777777" w:rsidTr="007D510B">
        <w:tc>
          <w:tcPr>
            <w:tcW w:w="4151" w:type="dxa"/>
          </w:tcPr>
          <w:p w14:paraId="5194F1ED" w14:textId="3FB83091" w:rsidR="00EC18B9" w:rsidRPr="00800578" w:rsidRDefault="00814D01" w:rsidP="00266211">
            <w:pPr>
              <w:pStyle w:val="Akapitzlist"/>
              <w:numPr>
                <w:ilvl w:val="0"/>
                <w:numId w:val="15"/>
              </w:numPr>
              <w:spacing w:after="120" w:line="276" w:lineRule="auto"/>
              <w:ind w:left="0" w:firstLine="0"/>
              <w:contextualSpacing w:val="0"/>
              <w:jc w:val="both"/>
              <w:rPr>
                <w:rFonts w:ascii="Verdana" w:hAnsi="Verdana"/>
                <w:sz w:val="20"/>
                <w:szCs w:val="20"/>
                <w:lang w:val="pl-PL"/>
              </w:rPr>
            </w:pPr>
            <w:r w:rsidRPr="00800578">
              <w:rPr>
                <w:rFonts w:ascii="Verdana" w:hAnsi="Verdana"/>
                <w:szCs w:val="20"/>
              </w:rPr>
              <w:tab/>
            </w:r>
            <w:r w:rsidRPr="00800578">
              <w:rPr>
                <w:rFonts w:ascii="Verdana" w:hAnsi="Verdana"/>
                <w:sz w:val="20"/>
                <w:szCs w:val="20"/>
                <w:lang w:val="pl-PL"/>
              </w:rPr>
              <w:t xml:space="preserve">Gdy Odbiorcy Informacje Poufne nie są już potrzebne do </w:t>
            </w:r>
            <w:r w:rsidR="00AF7A5E">
              <w:rPr>
                <w:rFonts w:ascii="Verdana" w:hAnsi="Verdana"/>
                <w:sz w:val="20"/>
                <w:szCs w:val="20"/>
                <w:lang w:val="pl-PL"/>
              </w:rPr>
              <w:t>Konsultacji</w:t>
            </w:r>
            <w:r w:rsidRPr="00800578">
              <w:rPr>
                <w:rFonts w:ascii="Verdana" w:hAnsi="Verdana"/>
                <w:sz w:val="20"/>
                <w:szCs w:val="20"/>
                <w:lang w:val="pl-PL"/>
              </w:rPr>
              <w:t xml:space="preserve">, wszelkie Informacje </w:t>
            </w:r>
            <w:r w:rsidRPr="00800578">
              <w:rPr>
                <w:rFonts w:ascii="Verdana" w:hAnsi="Verdana"/>
                <w:sz w:val="20"/>
                <w:szCs w:val="20"/>
                <w:lang w:val="pl-PL"/>
              </w:rPr>
              <w:lastRenderedPageBreak/>
              <w:t>Poufne ujawniane na każdym nośniku informacji lub w dowolnej innej formie materialnej oraz wszystkie kopie lub notatki osobiste pozostające w posiadaniu Odbiorcy, zwraca się ŁUKASIEWICZ – PORT lub zostają zniszczone. Taki zwrot lub zniszczenie jest poświadczone na piśmie przez Odbiorcę w ciągu 30 (trzydziestu) dni kalendarzowych od złożenia wniosku o zwrot lub zniszczenie przez ŁUKASIEWICZ – PORT.</w:t>
            </w:r>
          </w:p>
        </w:tc>
        <w:tc>
          <w:tcPr>
            <w:tcW w:w="4152" w:type="dxa"/>
          </w:tcPr>
          <w:p w14:paraId="5A11F6D9" w14:textId="182C0857" w:rsidR="00EC18B9" w:rsidRPr="00800578" w:rsidRDefault="009825B4" w:rsidP="006371E6">
            <w:pPr>
              <w:spacing w:after="120" w:line="276" w:lineRule="auto"/>
              <w:rPr>
                <w:szCs w:val="20"/>
              </w:rPr>
            </w:pPr>
            <w:r w:rsidRPr="00800578">
              <w:rPr>
                <w:szCs w:val="20"/>
              </w:rPr>
              <w:lastRenderedPageBreak/>
              <w:t xml:space="preserve">2. When the Disclosing Party no longer needs Confidential Information for the purposes of the </w:t>
            </w:r>
            <w:r w:rsidR="005D01A8">
              <w:rPr>
                <w:szCs w:val="20"/>
              </w:rPr>
              <w:lastRenderedPageBreak/>
              <w:t>Consultations</w:t>
            </w:r>
            <w:r w:rsidRPr="00800578">
              <w:rPr>
                <w:szCs w:val="20"/>
              </w:rPr>
              <w:t>, all Confidential Information, on whatever medium and in whatever form recorded, and any copies thereof or private notes which might be owned by the Receiving Party, shall be returned to ŁUKASIEWICZ-PORT or destroyed. Such return or destruction shall be confirmed by the Receiving Party in writing within 30 (thirty) calendar days of the date ŁUKASIEWICZ-PORT requested such return or destruction.</w:t>
            </w:r>
          </w:p>
        </w:tc>
      </w:tr>
      <w:tr w:rsidR="00EC18B9" w:rsidRPr="00800578" w14:paraId="5261704E" w14:textId="77777777" w:rsidTr="007D510B">
        <w:tc>
          <w:tcPr>
            <w:tcW w:w="4151" w:type="dxa"/>
          </w:tcPr>
          <w:p w14:paraId="3F24F7ED" w14:textId="77777777" w:rsidR="00EC18B9" w:rsidRPr="00800578" w:rsidRDefault="00814D01" w:rsidP="00266211">
            <w:pPr>
              <w:pStyle w:val="Akapitzlist"/>
              <w:numPr>
                <w:ilvl w:val="0"/>
                <w:numId w:val="15"/>
              </w:numPr>
              <w:spacing w:after="120" w:line="276" w:lineRule="auto"/>
              <w:ind w:left="0" w:firstLine="0"/>
              <w:contextualSpacing w:val="0"/>
              <w:jc w:val="both"/>
              <w:rPr>
                <w:rFonts w:ascii="Verdana" w:hAnsi="Verdana" w:cs="Calibri Light"/>
                <w:sz w:val="20"/>
                <w:szCs w:val="20"/>
                <w:lang w:val="pl-PL"/>
              </w:rPr>
            </w:pPr>
            <w:r w:rsidRPr="00800578">
              <w:rPr>
                <w:rFonts w:ascii="Verdana" w:hAnsi="Verdana" w:cs="Calibri Light"/>
                <w:sz w:val="20"/>
                <w:szCs w:val="20"/>
                <w:lang w:val="pl-PL"/>
              </w:rPr>
              <w:lastRenderedPageBreak/>
              <w:t>W przypadku, gdy kopie informacji Poufnych udostępnionych drogą elektroniczną zostaną wykonane w ramach rutynowej kopii zapasowej technologii informacyjnej lub zgodnie z przepisami obowiązującego prawa lub wytycznych dotyczących zgodności, Informacje Poufne podlegać będą nieograniczonemu obowiązkowi zachowania poufności zgodnie z warunkami Umowy aż do zwrotu lub zniszczenia.</w:t>
            </w:r>
          </w:p>
        </w:tc>
        <w:tc>
          <w:tcPr>
            <w:tcW w:w="4152" w:type="dxa"/>
          </w:tcPr>
          <w:p w14:paraId="08482288" w14:textId="77777777" w:rsidR="00EC18B9" w:rsidRPr="00800578" w:rsidRDefault="009825B4" w:rsidP="006371E6">
            <w:pPr>
              <w:spacing w:after="120" w:line="276" w:lineRule="auto"/>
              <w:rPr>
                <w:b/>
                <w:color w:val="auto"/>
                <w:szCs w:val="20"/>
              </w:rPr>
            </w:pPr>
            <w:r w:rsidRPr="00800578">
              <w:rPr>
                <w:color w:val="auto"/>
                <w:szCs w:val="20"/>
              </w:rPr>
              <w:t>3. If any copies of any Confidential Information disclosed by electronic means have been made for routine IT backup purposes, or to follow any applicable regulations or compliance requirements, such Confidential Information shall be subject to unlimited confidentiality requirement as per this Agreement until such Confidential Information is returned or destroyed</w:t>
            </w:r>
            <w:r w:rsidRPr="00800578">
              <w:rPr>
                <w:b/>
                <w:color w:val="auto"/>
                <w:szCs w:val="20"/>
              </w:rPr>
              <w:t>.</w:t>
            </w:r>
          </w:p>
        </w:tc>
      </w:tr>
      <w:tr w:rsidR="00EC18B9" w:rsidRPr="00800578" w14:paraId="4BA4E9DE" w14:textId="77777777" w:rsidTr="007D510B">
        <w:tc>
          <w:tcPr>
            <w:tcW w:w="4151" w:type="dxa"/>
          </w:tcPr>
          <w:p w14:paraId="7F1E4350" w14:textId="77777777" w:rsidR="00EC18B9" w:rsidRPr="00800578" w:rsidRDefault="00814D01" w:rsidP="00266211">
            <w:pPr>
              <w:spacing w:after="120" w:line="276" w:lineRule="auto"/>
              <w:rPr>
                <w:rFonts w:ascii="Verdana" w:hAnsi="Verdana"/>
                <w:szCs w:val="20"/>
                <w:lang w:val="pl-PL"/>
              </w:rPr>
            </w:pPr>
            <w:r w:rsidRPr="00800578">
              <w:rPr>
                <w:rFonts w:ascii="Verdana" w:hAnsi="Verdana" w:cs="Calibri Light"/>
                <w:b/>
                <w:color w:val="auto"/>
                <w:szCs w:val="20"/>
                <w:lang w:val="pl-PL"/>
              </w:rPr>
              <w:t>ARTYKUŁ 7 – ODPOWIEDZIALNOŚĆ</w:t>
            </w:r>
          </w:p>
        </w:tc>
        <w:tc>
          <w:tcPr>
            <w:tcW w:w="4152" w:type="dxa"/>
          </w:tcPr>
          <w:p w14:paraId="4709523E" w14:textId="77777777" w:rsidR="00EC18B9" w:rsidRPr="00800578" w:rsidRDefault="009825B4" w:rsidP="006371E6">
            <w:pPr>
              <w:spacing w:after="120" w:line="276" w:lineRule="auto"/>
              <w:jc w:val="center"/>
              <w:rPr>
                <w:b/>
                <w:color w:val="auto"/>
                <w:szCs w:val="20"/>
              </w:rPr>
            </w:pPr>
            <w:r w:rsidRPr="00800578">
              <w:rPr>
                <w:b/>
                <w:color w:val="auto"/>
                <w:szCs w:val="20"/>
              </w:rPr>
              <w:t>ARTICLE 7 – LIABILITY</w:t>
            </w:r>
          </w:p>
        </w:tc>
      </w:tr>
      <w:tr w:rsidR="00EC18B9" w:rsidRPr="00800578" w14:paraId="3762BF40" w14:textId="77777777" w:rsidTr="007D510B">
        <w:tc>
          <w:tcPr>
            <w:tcW w:w="4151" w:type="dxa"/>
          </w:tcPr>
          <w:p w14:paraId="10ACBF38" w14:textId="77777777" w:rsidR="00EC18B9" w:rsidRPr="00800578" w:rsidRDefault="00814D01" w:rsidP="00266211">
            <w:pPr>
              <w:spacing w:after="120" w:line="276" w:lineRule="auto"/>
              <w:rPr>
                <w:rFonts w:ascii="Verdana" w:hAnsi="Verdana"/>
                <w:szCs w:val="20"/>
                <w:lang w:val="pl-PL"/>
              </w:rPr>
            </w:pPr>
            <w:r w:rsidRPr="00800578">
              <w:rPr>
                <w:rFonts w:ascii="Verdana" w:eastAsia="Verdana" w:hAnsi="Verdana" w:cs="Calibri Light"/>
                <w:color w:val="000000"/>
                <w:szCs w:val="20"/>
                <w:lang w:val="pl-PL"/>
              </w:rPr>
              <w:t xml:space="preserve">1. W razie naruszenia przez Odbiorcę zobowiązań określonych w artykułach Umowy: </w:t>
            </w:r>
            <w:r w:rsidRPr="00800578">
              <w:rPr>
                <w:rFonts w:ascii="Verdana" w:eastAsia="Verdana" w:hAnsi="Verdana" w:cs="Calibri Light"/>
                <w:color w:val="000000"/>
                <w:szCs w:val="20"/>
                <w:lang w:val="pl-PL"/>
              </w:rPr>
              <w:br/>
              <w:t xml:space="preserve">3 – Zobowiązania Stron lub 5 – Ograniczenia i Gwarancje Umowy, ŁUKASIEWICZ </w:t>
            </w:r>
            <w:r w:rsidRPr="00800578">
              <w:rPr>
                <w:rFonts w:ascii="Verdana" w:eastAsia="Verdana" w:hAnsi="Verdana" w:cs="Times New Roman"/>
                <w:color w:val="000000"/>
                <w:szCs w:val="20"/>
                <w:lang w:val="pl-PL"/>
              </w:rPr>
              <w:t>– PORT</w:t>
            </w:r>
            <w:r w:rsidRPr="00800578" w:rsidDel="00202B8C">
              <w:rPr>
                <w:rFonts w:ascii="Verdana" w:eastAsia="Verdana" w:hAnsi="Verdana" w:cs="Calibri Light"/>
                <w:color w:val="000000"/>
                <w:szCs w:val="20"/>
                <w:lang w:val="pl-PL"/>
              </w:rPr>
              <w:t xml:space="preserve"> </w:t>
            </w:r>
            <w:r w:rsidRPr="00800578">
              <w:rPr>
                <w:rFonts w:ascii="Verdana" w:eastAsia="Verdana" w:hAnsi="Verdana" w:cs="Calibri Light"/>
                <w:color w:val="000000"/>
                <w:szCs w:val="20"/>
                <w:lang w:val="pl-PL"/>
              </w:rPr>
              <w:t>uprawniony będzie do dochodzenia od Odbiorcy odszkodowania na zasadach ogólnych z tytułu poniesionych szkód.</w:t>
            </w:r>
          </w:p>
        </w:tc>
        <w:tc>
          <w:tcPr>
            <w:tcW w:w="4152" w:type="dxa"/>
          </w:tcPr>
          <w:p w14:paraId="4E308B74" w14:textId="77777777" w:rsidR="00EC18B9" w:rsidRPr="00800578" w:rsidRDefault="009825B4" w:rsidP="006371E6">
            <w:pPr>
              <w:spacing w:after="120" w:line="276" w:lineRule="auto"/>
              <w:rPr>
                <w:color w:val="auto"/>
                <w:szCs w:val="20"/>
              </w:rPr>
            </w:pPr>
            <w:r w:rsidRPr="00800578">
              <w:rPr>
                <w:color w:val="auto"/>
                <w:szCs w:val="20"/>
              </w:rPr>
              <w:t>1. If the Receiving Party is found to be in breach of its requirements under Article 3, “Responsibilities of the Parties”, or Article 5, “Representations and Warranties”, above, the Party whose rights have been affected shall be able to claim damages from the other Party based on applicable law.</w:t>
            </w:r>
          </w:p>
        </w:tc>
      </w:tr>
      <w:tr w:rsidR="00EC18B9" w:rsidRPr="00800578" w14:paraId="2A0DD610" w14:textId="77777777" w:rsidTr="007D510B">
        <w:tc>
          <w:tcPr>
            <w:tcW w:w="4151" w:type="dxa"/>
          </w:tcPr>
          <w:p w14:paraId="624FD97B" w14:textId="77777777" w:rsidR="00EC18B9" w:rsidRPr="00800578" w:rsidRDefault="00814D01" w:rsidP="00266211">
            <w:pPr>
              <w:spacing w:after="120" w:line="276" w:lineRule="auto"/>
              <w:rPr>
                <w:rFonts w:ascii="Verdana" w:hAnsi="Verdana"/>
                <w:szCs w:val="20"/>
                <w:lang w:val="pl-PL"/>
              </w:rPr>
            </w:pPr>
            <w:r w:rsidRPr="00800578">
              <w:rPr>
                <w:rFonts w:ascii="Verdana" w:hAnsi="Verdana"/>
                <w:szCs w:val="20"/>
                <w:lang w:val="pl-PL"/>
              </w:rPr>
              <w:t xml:space="preserve">2. </w:t>
            </w:r>
            <w:r w:rsidRPr="00800578">
              <w:rPr>
                <w:rFonts w:ascii="Verdana" w:hAnsi="Verdana" w:cs="Calibri Light"/>
                <w:szCs w:val="20"/>
                <w:lang w:val="pl-PL"/>
              </w:rPr>
              <w:t>Odbiorca odpowiada za naruszenia zobowiązań przez osoby wymienione w pkt 3.1.b Umowy zobowiązań do zachowania poufności jak za naruszenia własne.</w:t>
            </w:r>
          </w:p>
        </w:tc>
        <w:tc>
          <w:tcPr>
            <w:tcW w:w="4152" w:type="dxa"/>
          </w:tcPr>
          <w:p w14:paraId="2C573EB8" w14:textId="77777777" w:rsidR="00EC18B9" w:rsidRPr="00800578" w:rsidRDefault="009825B4" w:rsidP="006371E6">
            <w:pPr>
              <w:spacing w:after="120" w:line="276" w:lineRule="auto"/>
              <w:rPr>
                <w:color w:val="auto"/>
                <w:szCs w:val="20"/>
              </w:rPr>
            </w:pPr>
            <w:r w:rsidRPr="00800578">
              <w:rPr>
                <w:color w:val="auto"/>
                <w:szCs w:val="20"/>
              </w:rPr>
              <w:t>2. The Parties shall be liable for any failure to fulfil their confidentiality responsibilities by the persons referred to in section 3.1.b hereof the same way as if the failure was their own.</w:t>
            </w:r>
          </w:p>
        </w:tc>
      </w:tr>
      <w:tr w:rsidR="00EC18B9" w:rsidRPr="00800578" w14:paraId="5C6903A3" w14:textId="77777777" w:rsidTr="007D510B">
        <w:tc>
          <w:tcPr>
            <w:tcW w:w="4151" w:type="dxa"/>
          </w:tcPr>
          <w:p w14:paraId="6FD9E6A5" w14:textId="77777777" w:rsidR="00EC18B9" w:rsidRPr="00800578" w:rsidRDefault="00814D01" w:rsidP="00266211">
            <w:pPr>
              <w:spacing w:after="120" w:line="276" w:lineRule="auto"/>
              <w:rPr>
                <w:rFonts w:ascii="Verdana" w:hAnsi="Verdana"/>
                <w:szCs w:val="20"/>
                <w:lang w:val="pl-PL"/>
              </w:rPr>
            </w:pPr>
            <w:r w:rsidRPr="00800578">
              <w:rPr>
                <w:rFonts w:ascii="Verdana" w:hAnsi="Verdana" w:cs="Calibri Light"/>
                <w:szCs w:val="20"/>
                <w:lang w:val="pl-PL"/>
              </w:rPr>
              <w:t xml:space="preserve">3. </w:t>
            </w:r>
            <w:r w:rsidRPr="00800578">
              <w:rPr>
                <w:rFonts w:ascii="Verdana" w:hAnsi="Verdana" w:cs="Calibri Light"/>
                <w:iCs/>
                <w:szCs w:val="20"/>
                <w:lang w:val="pl-PL"/>
              </w:rPr>
              <w:t xml:space="preserve">Odbiorca zobowiązany będzie do zapłaty na rzecz ŁUKASIEWICZ </w:t>
            </w:r>
            <w:r w:rsidRPr="00800578">
              <w:rPr>
                <w:rFonts w:ascii="Verdana" w:hAnsi="Verdana"/>
                <w:szCs w:val="20"/>
                <w:lang w:val="pl-PL"/>
              </w:rPr>
              <w:t xml:space="preserve">– </w:t>
            </w:r>
            <w:r w:rsidRPr="00800578">
              <w:rPr>
                <w:rFonts w:ascii="Verdana" w:hAnsi="Verdana"/>
                <w:szCs w:val="20"/>
                <w:lang w:val="pl-PL"/>
              </w:rPr>
              <w:lastRenderedPageBreak/>
              <w:t>PORT</w:t>
            </w:r>
            <w:r w:rsidRPr="00800578">
              <w:rPr>
                <w:rFonts w:ascii="Verdana" w:hAnsi="Verdana" w:cs="Calibri Light"/>
                <w:iCs/>
                <w:szCs w:val="20"/>
                <w:lang w:val="pl-PL"/>
              </w:rPr>
              <w:t xml:space="preserve"> kary umownej </w:t>
            </w:r>
            <w:r w:rsidRPr="00800578">
              <w:rPr>
                <w:rFonts w:ascii="Verdana" w:hAnsi="Verdana" w:cs="Calibri Light"/>
                <w:iCs/>
                <w:szCs w:val="20"/>
                <w:lang w:val="pl-PL"/>
              </w:rPr>
              <w:br/>
              <w:t>w kwocie PLN 100.000,00 (słownie: stu tysięcy złotych) za każdy przypadek ujawnienia jego Informacji Poufnych oraz za każdy przypadek naruszenia obowiązków wskazanych w Art. 3 ust. 1-3 i Art. 5 Umowy.</w:t>
            </w:r>
          </w:p>
        </w:tc>
        <w:tc>
          <w:tcPr>
            <w:tcW w:w="4152" w:type="dxa"/>
          </w:tcPr>
          <w:p w14:paraId="1572490C" w14:textId="77777777" w:rsidR="00EC18B9" w:rsidRPr="00800578" w:rsidRDefault="009825B4" w:rsidP="006371E6">
            <w:pPr>
              <w:spacing w:after="120" w:line="276" w:lineRule="auto"/>
              <w:rPr>
                <w:color w:val="auto"/>
                <w:szCs w:val="20"/>
              </w:rPr>
            </w:pPr>
            <w:r w:rsidRPr="00800578">
              <w:rPr>
                <w:color w:val="auto"/>
                <w:szCs w:val="20"/>
              </w:rPr>
              <w:lastRenderedPageBreak/>
              <w:t xml:space="preserve">3. The Receiving Party shall pay to ŁUKASIEWICZ-PORT a contractual </w:t>
            </w:r>
            <w:r w:rsidRPr="00800578">
              <w:rPr>
                <w:color w:val="auto"/>
                <w:szCs w:val="20"/>
              </w:rPr>
              <w:lastRenderedPageBreak/>
              <w:t>penalty of PLN 100,000.00 (one hundred thousand zlotys) per each confirmed case of disclosure of Confidential Information, and per each case of failure to fulfil their obligations referred to in Article 3 Sections (1), (2) and (3), and Article 5 hereof.</w:t>
            </w:r>
          </w:p>
        </w:tc>
      </w:tr>
      <w:tr w:rsidR="00EC18B9" w:rsidRPr="00800578" w14:paraId="7F9E8088" w14:textId="77777777" w:rsidTr="007D510B">
        <w:tc>
          <w:tcPr>
            <w:tcW w:w="4151" w:type="dxa"/>
          </w:tcPr>
          <w:p w14:paraId="43BD597C" w14:textId="77777777" w:rsidR="00EC18B9" w:rsidRPr="00800578" w:rsidRDefault="00814D01" w:rsidP="00266211">
            <w:pPr>
              <w:spacing w:after="120" w:line="276" w:lineRule="auto"/>
              <w:rPr>
                <w:rFonts w:ascii="Verdana" w:hAnsi="Verdana"/>
                <w:szCs w:val="20"/>
                <w:lang w:val="pl-PL"/>
              </w:rPr>
            </w:pPr>
            <w:r w:rsidRPr="00800578">
              <w:rPr>
                <w:rFonts w:ascii="Verdana" w:hAnsi="Verdana" w:cs="Calibri Light"/>
                <w:szCs w:val="20"/>
                <w:lang w:val="pl-PL"/>
              </w:rPr>
              <w:lastRenderedPageBreak/>
              <w:t xml:space="preserve">4. </w:t>
            </w:r>
            <w:r w:rsidRPr="00800578">
              <w:rPr>
                <w:rFonts w:ascii="Verdana" w:hAnsi="Verdana" w:cs="Calibri Light"/>
                <w:iCs/>
                <w:szCs w:val="20"/>
                <w:lang w:val="pl-PL"/>
              </w:rPr>
              <w:t xml:space="preserve">ŁUKASIEWICZ </w:t>
            </w:r>
            <w:r w:rsidRPr="00800578">
              <w:rPr>
                <w:rFonts w:ascii="Verdana" w:hAnsi="Verdana"/>
                <w:szCs w:val="20"/>
                <w:lang w:val="pl-PL"/>
              </w:rPr>
              <w:t>– PORT</w:t>
            </w:r>
            <w:r w:rsidRPr="00800578">
              <w:rPr>
                <w:rFonts w:ascii="Verdana" w:hAnsi="Verdana" w:cs="Calibri Light"/>
                <w:iCs/>
                <w:szCs w:val="20"/>
                <w:lang w:val="pl-PL"/>
              </w:rPr>
              <w:t xml:space="preserve"> zachowuje prawo do dochodzenia odszkodowania przewyższającego zastrzeżoną karę umowną na zasadach ogólnych.</w:t>
            </w:r>
          </w:p>
        </w:tc>
        <w:tc>
          <w:tcPr>
            <w:tcW w:w="4152" w:type="dxa"/>
          </w:tcPr>
          <w:p w14:paraId="521EB8A5" w14:textId="77777777" w:rsidR="00EC18B9" w:rsidRPr="00800578" w:rsidRDefault="009825B4" w:rsidP="006371E6">
            <w:pPr>
              <w:spacing w:after="120" w:line="276" w:lineRule="auto"/>
              <w:rPr>
                <w:color w:val="auto"/>
                <w:szCs w:val="20"/>
              </w:rPr>
            </w:pPr>
            <w:r w:rsidRPr="00800578">
              <w:rPr>
                <w:color w:val="auto"/>
                <w:szCs w:val="20"/>
              </w:rPr>
              <w:t>4. ŁUKASIEWICZ-PORT shall retain the right to seek damages in excess of these contractual penalty by reference to the applicable provisions of law.</w:t>
            </w:r>
          </w:p>
        </w:tc>
      </w:tr>
      <w:tr w:rsidR="00EC18B9" w:rsidRPr="00800578" w14:paraId="5FE73E9E" w14:textId="77777777" w:rsidTr="007D510B">
        <w:tc>
          <w:tcPr>
            <w:tcW w:w="4151" w:type="dxa"/>
          </w:tcPr>
          <w:p w14:paraId="7EB5E580" w14:textId="77777777" w:rsidR="00EC18B9" w:rsidRPr="00800578" w:rsidRDefault="00814D01" w:rsidP="006371E6">
            <w:pPr>
              <w:spacing w:after="120" w:line="276" w:lineRule="auto"/>
              <w:jc w:val="center"/>
              <w:rPr>
                <w:rFonts w:ascii="Verdana" w:hAnsi="Verdana"/>
                <w:szCs w:val="20"/>
                <w:lang w:val="pl-PL"/>
              </w:rPr>
            </w:pPr>
            <w:r w:rsidRPr="00800578">
              <w:rPr>
                <w:rFonts w:ascii="Verdana" w:hAnsi="Verdana"/>
                <w:b/>
                <w:color w:val="auto"/>
                <w:szCs w:val="20"/>
                <w:lang w:val="pl-PL"/>
              </w:rPr>
              <w:t>ARTYKUŁ 8 – OKRES OBOWIĄZYWANIA</w:t>
            </w:r>
          </w:p>
        </w:tc>
        <w:tc>
          <w:tcPr>
            <w:tcW w:w="4152" w:type="dxa"/>
          </w:tcPr>
          <w:p w14:paraId="233268B2" w14:textId="77777777" w:rsidR="00EC18B9" w:rsidRPr="00800578" w:rsidRDefault="009825B4" w:rsidP="006371E6">
            <w:pPr>
              <w:tabs>
                <w:tab w:val="left" w:pos="2580"/>
              </w:tabs>
              <w:spacing w:after="120" w:line="276" w:lineRule="auto"/>
              <w:jc w:val="center"/>
              <w:rPr>
                <w:b/>
                <w:color w:val="auto"/>
                <w:szCs w:val="20"/>
              </w:rPr>
            </w:pPr>
            <w:r w:rsidRPr="00800578">
              <w:rPr>
                <w:b/>
                <w:color w:val="auto"/>
                <w:szCs w:val="20"/>
              </w:rPr>
              <w:t>ARTICLE 8 – TERM</w:t>
            </w:r>
          </w:p>
        </w:tc>
      </w:tr>
      <w:tr w:rsidR="00EC18B9" w:rsidRPr="00800578" w14:paraId="70272121" w14:textId="77777777" w:rsidTr="007D510B">
        <w:tc>
          <w:tcPr>
            <w:tcW w:w="4151" w:type="dxa"/>
          </w:tcPr>
          <w:p w14:paraId="455A17F4" w14:textId="77777777" w:rsidR="00EC18B9" w:rsidRPr="00800578" w:rsidRDefault="00814D01" w:rsidP="006371E6">
            <w:pPr>
              <w:spacing w:after="120" w:line="276" w:lineRule="auto"/>
              <w:rPr>
                <w:rFonts w:ascii="Verdana" w:hAnsi="Verdana"/>
                <w:szCs w:val="20"/>
                <w:lang w:val="pl-PL"/>
              </w:rPr>
            </w:pPr>
            <w:r w:rsidRPr="00800578">
              <w:rPr>
                <w:rFonts w:ascii="Verdana" w:hAnsi="Verdana" w:cs="Calibri Light"/>
                <w:szCs w:val="20"/>
                <w:lang w:val="pl-PL"/>
              </w:rPr>
              <w:t>1. Umowa wchodzi w życie z dniem jej zawarcia.</w:t>
            </w:r>
          </w:p>
        </w:tc>
        <w:tc>
          <w:tcPr>
            <w:tcW w:w="4152" w:type="dxa"/>
          </w:tcPr>
          <w:p w14:paraId="2C55BC57" w14:textId="77777777" w:rsidR="00EC18B9" w:rsidRPr="00800578" w:rsidRDefault="009825B4" w:rsidP="006371E6">
            <w:pPr>
              <w:spacing w:after="120" w:line="276" w:lineRule="auto"/>
              <w:rPr>
                <w:color w:val="auto"/>
                <w:szCs w:val="20"/>
              </w:rPr>
            </w:pPr>
            <w:r w:rsidRPr="00800578">
              <w:rPr>
                <w:color w:val="auto"/>
                <w:szCs w:val="20"/>
              </w:rPr>
              <w:t>1. This Agreement shall become effective on the day it is made.</w:t>
            </w:r>
          </w:p>
        </w:tc>
      </w:tr>
      <w:tr w:rsidR="00EC18B9" w:rsidRPr="00800578" w14:paraId="210B41F9" w14:textId="77777777" w:rsidTr="007D510B">
        <w:tc>
          <w:tcPr>
            <w:tcW w:w="4151" w:type="dxa"/>
          </w:tcPr>
          <w:p w14:paraId="282EF2CA" w14:textId="3A3CA4F0" w:rsidR="00EC18B9" w:rsidRPr="00800578" w:rsidRDefault="00814D01" w:rsidP="006371E6">
            <w:pPr>
              <w:spacing w:after="120" w:line="276" w:lineRule="auto"/>
              <w:rPr>
                <w:rFonts w:ascii="Verdana" w:hAnsi="Verdana"/>
                <w:szCs w:val="20"/>
                <w:lang w:val="pl-PL"/>
              </w:rPr>
            </w:pPr>
            <w:r w:rsidRPr="00800578">
              <w:rPr>
                <w:rFonts w:ascii="Verdana" w:hAnsi="Verdana"/>
                <w:szCs w:val="20"/>
                <w:lang w:val="pl-PL"/>
              </w:rPr>
              <w:t xml:space="preserve">2. Umowa zostaje zawarta na okres trwania </w:t>
            </w:r>
            <w:r w:rsidR="00AF7A5E">
              <w:rPr>
                <w:rFonts w:ascii="Verdana" w:hAnsi="Verdana"/>
                <w:szCs w:val="20"/>
                <w:lang w:val="pl-PL"/>
              </w:rPr>
              <w:t>Konsultacji</w:t>
            </w:r>
            <w:r w:rsidR="00AF7A5E" w:rsidRPr="00800578">
              <w:rPr>
                <w:rFonts w:ascii="Verdana" w:hAnsi="Verdana"/>
                <w:szCs w:val="20"/>
                <w:lang w:val="pl-PL"/>
              </w:rPr>
              <w:t xml:space="preserve"> </w:t>
            </w:r>
            <w:r w:rsidRPr="00800578">
              <w:rPr>
                <w:rFonts w:ascii="Verdana" w:hAnsi="Verdana"/>
                <w:szCs w:val="20"/>
                <w:lang w:val="pl-PL"/>
              </w:rPr>
              <w:t>oraz na okres 3 (trzech lat) od jego zakończenia, nie mniej jednak niż 5 (pięciu) lat</w:t>
            </w:r>
            <w:r w:rsidRPr="00800578">
              <w:rPr>
                <w:rFonts w:ascii="Verdana" w:hAnsi="Verdana" w:cs="Calibri Light"/>
                <w:szCs w:val="20"/>
                <w:lang w:val="pl-PL"/>
              </w:rPr>
              <w:t xml:space="preserve"> </w:t>
            </w:r>
            <w:r w:rsidRPr="00800578">
              <w:rPr>
                <w:rFonts w:ascii="Verdana" w:hAnsi="Verdana"/>
                <w:szCs w:val="20"/>
                <w:lang w:val="pl-PL"/>
              </w:rPr>
              <w:t>od dnia zawarcia niniejszej Umowy.</w:t>
            </w:r>
          </w:p>
        </w:tc>
        <w:tc>
          <w:tcPr>
            <w:tcW w:w="4152" w:type="dxa"/>
          </w:tcPr>
          <w:p w14:paraId="2C24F657" w14:textId="16A00249" w:rsidR="00EC18B9" w:rsidRPr="00800578" w:rsidRDefault="00BB7C5E" w:rsidP="006371E6">
            <w:pPr>
              <w:spacing w:after="120" w:line="276" w:lineRule="auto"/>
              <w:rPr>
                <w:color w:val="auto"/>
                <w:szCs w:val="20"/>
              </w:rPr>
            </w:pPr>
            <w:r w:rsidRPr="00800578">
              <w:rPr>
                <w:color w:val="auto"/>
                <w:szCs w:val="20"/>
              </w:rPr>
              <w:t xml:space="preserve">2. The Agreement shall be concluded for the duration of the </w:t>
            </w:r>
            <w:r w:rsidR="005D01A8">
              <w:rPr>
                <w:color w:val="auto"/>
                <w:szCs w:val="20"/>
              </w:rPr>
              <w:t>Consultations</w:t>
            </w:r>
            <w:r w:rsidR="005D01A8" w:rsidRPr="00800578">
              <w:rPr>
                <w:color w:val="auto"/>
                <w:szCs w:val="20"/>
              </w:rPr>
              <w:t xml:space="preserve"> </w:t>
            </w:r>
            <w:r w:rsidRPr="00800578">
              <w:rPr>
                <w:color w:val="auto"/>
                <w:szCs w:val="20"/>
              </w:rPr>
              <w:t>plus 3 (three) years thereafter, but for no less than 5 (five) years from the date the Agreement is made.</w:t>
            </w:r>
          </w:p>
        </w:tc>
      </w:tr>
      <w:tr w:rsidR="00EC18B9" w:rsidRPr="00800578" w14:paraId="2692C43F" w14:textId="77777777" w:rsidTr="007D510B">
        <w:tc>
          <w:tcPr>
            <w:tcW w:w="4151" w:type="dxa"/>
          </w:tcPr>
          <w:p w14:paraId="47EEA32E" w14:textId="77777777" w:rsidR="00EC18B9" w:rsidRPr="00800578" w:rsidRDefault="000522C5" w:rsidP="006371E6">
            <w:pPr>
              <w:spacing w:after="120" w:line="276" w:lineRule="auto"/>
              <w:rPr>
                <w:rFonts w:ascii="Verdana" w:hAnsi="Verdana"/>
                <w:szCs w:val="20"/>
                <w:lang w:val="pl-PL"/>
              </w:rPr>
            </w:pPr>
            <w:r w:rsidRPr="00800578">
              <w:rPr>
                <w:rFonts w:ascii="Verdana" w:hAnsi="Verdana"/>
                <w:szCs w:val="20"/>
                <w:lang w:val="pl-PL"/>
              </w:rPr>
              <w:t>3. Umowa może zostać rozwiązana w dowolnym czasie w drodze pisemnego porozumienia Stron.</w:t>
            </w:r>
          </w:p>
        </w:tc>
        <w:tc>
          <w:tcPr>
            <w:tcW w:w="4152" w:type="dxa"/>
          </w:tcPr>
          <w:p w14:paraId="28F6FE9E" w14:textId="77777777" w:rsidR="00EC18B9" w:rsidRPr="00800578" w:rsidRDefault="00BB7C5E" w:rsidP="006371E6">
            <w:pPr>
              <w:spacing w:after="120" w:line="276" w:lineRule="auto"/>
              <w:rPr>
                <w:color w:val="auto"/>
                <w:szCs w:val="20"/>
              </w:rPr>
            </w:pPr>
            <w:r w:rsidRPr="00800578">
              <w:rPr>
                <w:color w:val="auto"/>
                <w:szCs w:val="20"/>
              </w:rPr>
              <w:t>3. The Agreement may be terminated at any time on the basis of a written agreement between the Parties.</w:t>
            </w:r>
          </w:p>
        </w:tc>
      </w:tr>
      <w:tr w:rsidR="00EC18B9" w:rsidRPr="00800578" w14:paraId="40E44D76" w14:textId="77777777" w:rsidTr="007D510B">
        <w:tc>
          <w:tcPr>
            <w:tcW w:w="4151" w:type="dxa"/>
          </w:tcPr>
          <w:p w14:paraId="677F7E59" w14:textId="77777777" w:rsidR="00EC18B9" w:rsidRPr="00800578" w:rsidRDefault="000522C5" w:rsidP="006371E6">
            <w:pPr>
              <w:spacing w:after="120" w:line="276" w:lineRule="auto"/>
              <w:rPr>
                <w:rFonts w:ascii="Verdana" w:eastAsia="Times New Roman" w:hAnsi="Verdana" w:cs="Times New Roman"/>
                <w:color w:val="auto"/>
                <w:spacing w:val="0"/>
                <w:szCs w:val="20"/>
                <w:lang w:val="pl-PL" w:eastAsia="pl-PL"/>
              </w:rPr>
            </w:pPr>
            <w:r w:rsidRPr="00800578">
              <w:rPr>
                <w:rFonts w:ascii="Verdana" w:eastAsia="Times New Roman" w:hAnsi="Verdana" w:cs="Times New Roman"/>
                <w:color w:val="auto"/>
                <w:spacing w:val="0"/>
                <w:szCs w:val="20"/>
                <w:lang w:val="pl-PL" w:eastAsia="pl-PL"/>
              </w:rPr>
              <w:t>4. Zakończenie obowiązywania Umowy nie zwalnia Stron z ich zobowiązań dotyczących ochrony i wykorzystywania Poufnych Informacji zawartych w artykułach Umowy: 3 - "Zobowiązania stron", 6 - "Zwrot informacji poufnych" i 10 - "Prawo właściwe i rozstrzyganie sporów".</w:t>
            </w:r>
          </w:p>
        </w:tc>
        <w:tc>
          <w:tcPr>
            <w:tcW w:w="4152" w:type="dxa"/>
          </w:tcPr>
          <w:p w14:paraId="211F17E4" w14:textId="77777777" w:rsidR="00EC18B9" w:rsidRPr="00800578" w:rsidRDefault="00BB7C5E" w:rsidP="006371E6">
            <w:pPr>
              <w:spacing w:after="120" w:line="276" w:lineRule="auto"/>
              <w:rPr>
                <w:color w:val="auto"/>
                <w:szCs w:val="20"/>
              </w:rPr>
            </w:pPr>
            <w:r w:rsidRPr="00800578">
              <w:rPr>
                <w:color w:val="auto"/>
                <w:szCs w:val="20"/>
              </w:rPr>
              <w:t>4. Following the termination, the Parties shall continue to be bound by their responsibilities related to the protection and use of Confidential Information, as described in Article  3, “Responsibilities of the Parties”, Article 6, “Return or Destruction of Confidential Information” and Article 10, “Governing Law and Dispute Resolution.”</w:t>
            </w:r>
          </w:p>
        </w:tc>
      </w:tr>
      <w:tr w:rsidR="00EC18B9" w:rsidRPr="00800578" w14:paraId="41E190AB" w14:textId="77777777" w:rsidTr="007D510B">
        <w:tc>
          <w:tcPr>
            <w:tcW w:w="4151" w:type="dxa"/>
          </w:tcPr>
          <w:p w14:paraId="117C7439" w14:textId="77777777" w:rsidR="00EC18B9" w:rsidRPr="00800578" w:rsidRDefault="000522C5" w:rsidP="006371E6">
            <w:pPr>
              <w:spacing w:after="120" w:line="276" w:lineRule="auto"/>
              <w:jc w:val="center"/>
              <w:rPr>
                <w:rFonts w:ascii="Verdana" w:hAnsi="Verdana"/>
                <w:b/>
                <w:color w:val="auto"/>
                <w:szCs w:val="20"/>
                <w:lang w:val="pl-PL"/>
              </w:rPr>
            </w:pPr>
            <w:r w:rsidRPr="00800578">
              <w:rPr>
                <w:rFonts w:ascii="Verdana" w:hAnsi="Verdana"/>
                <w:b/>
                <w:color w:val="auto"/>
                <w:szCs w:val="20"/>
                <w:lang w:val="pl-PL"/>
              </w:rPr>
              <w:t>ARTYKUŁ 9 – CESJA</w:t>
            </w:r>
          </w:p>
        </w:tc>
        <w:tc>
          <w:tcPr>
            <w:tcW w:w="4152" w:type="dxa"/>
          </w:tcPr>
          <w:p w14:paraId="6E8365B4" w14:textId="77777777" w:rsidR="00EC18B9" w:rsidRPr="00800578" w:rsidRDefault="00BB7C5E" w:rsidP="006371E6">
            <w:pPr>
              <w:spacing w:after="120" w:line="276" w:lineRule="auto"/>
              <w:jc w:val="center"/>
              <w:rPr>
                <w:b/>
                <w:color w:val="auto"/>
                <w:szCs w:val="20"/>
              </w:rPr>
            </w:pPr>
            <w:r w:rsidRPr="00800578">
              <w:rPr>
                <w:b/>
                <w:color w:val="auto"/>
                <w:szCs w:val="20"/>
              </w:rPr>
              <w:t>ARTICLE 9 – NO ASSIGNMENT</w:t>
            </w:r>
          </w:p>
        </w:tc>
      </w:tr>
      <w:tr w:rsidR="000522C5" w:rsidRPr="00800578" w14:paraId="2146544E" w14:textId="77777777" w:rsidTr="007D510B">
        <w:tc>
          <w:tcPr>
            <w:tcW w:w="4151" w:type="dxa"/>
          </w:tcPr>
          <w:p w14:paraId="0577C7B7" w14:textId="77777777" w:rsidR="000522C5" w:rsidRPr="00800578" w:rsidRDefault="000522C5" w:rsidP="006371E6">
            <w:pPr>
              <w:spacing w:after="120" w:line="276" w:lineRule="auto"/>
              <w:rPr>
                <w:rFonts w:ascii="Verdana" w:hAnsi="Verdana"/>
                <w:b/>
                <w:color w:val="auto"/>
                <w:szCs w:val="20"/>
                <w:lang w:val="pl-PL"/>
              </w:rPr>
            </w:pPr>
            <w:r w:rsidRPr="00800578">
              <w:rPr>
                <w:rFonts w:ascii="Verdana" w:hAnsi="Verdana"/>
                <w:color w:val="auto"/>
                <w:szCs w:val="20"/>
                <w:lang w:val="pl-PL"/>
              </w:rPr>
              <w:t>Żadna ze Stron nie może przekazać swoich praw i obowiązków wynikających z Umowy bez uprzedniej pisemnej zgody drugiej Strony.</w:t>
            </w:r>
          </w:p>
        </w:tc>
        <w:tc>
          <w:tcPr>
            <w:tcW w:w="4152" w:type="dxa"/>
          </w:tcPr>
          <w:p w14:paraId="5F3577EB" w14:textId="77777777" w:rsidR="000522C5" w:rsidRPr="00800578" w:rsidRDefault="00BB7C5E" w:rsidP="006371E6">
            <w:pPr>
              <w:spacing w:after="120" w:line="276" w:lineRule="auto"/>
              <w:rPr>
                <w:color w:val="auto"/>
                <w:szCs w:val="20"/>
              </w:rPr>
            </w:pPr>
            <w:r w:rsidRPr="00800578">
              <w:rPr>
                <w:color w:val="auto"/>
                <w:szCs w:val="20"/>
              </w:rPr>
              <w:t>None of the Parties hereto may transfer its rights and obligations arising hereunder to a third party without written authorisation from the other Party.</w:t>
            </w:r>
          </w:p>
        </w:tc>
      </w:tr>
      <w:tr w:rsidR="000522C5" w:rsidRPr="00800578" w14:paraId="24CABE8E" w14:textId="77777777" w:rsidTr="007D510B">
        <w:tc>
          <w:tcPr>
            <w:tcW w:w="4151" w:type="dxa"/>
          </w:tcPr>
          <w:p w14:paraId="221CF753" w14:textId="77777777" w:rsidR="000522C5" w:rsidRPr="00800578" w:rsidRDefault="000522C5" w:rsidP="006371E6">
            <w:pPr>
              <w:spacing w:after="120" w:line="276" w:lineRule="auto"/>
              <w:jc w:val="center"/>
              <w:rPr>
                <w:rFonts w:ascii="Verdana" w:hAnsi="Verdana"/>
                <w:b/>
                <w:color w:val="auto"/>
                <w:szCs w:val="20"/>
                <w:lang w:val="pl-PL"/>
              </w:rPr>
            </w:pPr>
            <w:r w:rsidRPr="00800578">
              <w:rPr>
                <w:rFonts w:ascii="Verdana" w:hAnsi="Verdana"/>
                <w:b/>
                <w:color w:val="auto"/>
                <w:szCs w:val="20"/>
                <w:lang w:val="pl-PL"/>
              </w:rPr>
              <w:lastRenderedPageBreak/>
              <w:t>ARTYKUŁ 10 - PRAWO WŁAŚCIWE I ROZSTRZYGANIE SPORÓW</w:t>
            </w:r>
          </w:p>
        </w:tc>
        <w:tc>
          <w:tcPr>
            <w:tcW w:w="4152" w:type="dxa"/>
          </w:tcPr>
          <w:p w14:paraId="4C48ED77" w14:textId="77777777" w:rsidR="000522C5" w:rsidRPr="00800578" w:rsidRDefault="00BB7C5E" w:rsidP="006371E6">
            <w:pPr>
              <w:spacing w:after="120" w:line="276" w:lineRule="auto"/>
              <w:jc w:val="center"/>
              <w:rPr>
                <w:b/>
                <w:color w:val="auto"/>
                <w:szCs w:val="20"/>
              </w:rPr>
            </w:pPr>
            <w:r w:rsidRPr="00800578">
              <w:rPr>
                <w:b/>
                <w:color w:val="auto"/>
                <w:szCs w:val="20"/>
              </w:rPr>
              <w:t>ARTICLE 10 – GOVERNING LAW AND DISPUTE RESOLUTION</w:t>
            </w:r>
          </w:p>
        </w:tc>
      </w:tr>
      <w:tr w:rsidR="000522C5" w:rsidRPr="00800578" w14:paraId="166B6A34" w14:textId="77777777" w:rsidTr="007D510B">
        <w:tc>
          <w:tcPr>
            <w:tcW w:w="4151" w:type="dxa"/>
          </w:tcPr>
          <w:p w14:paraId="10FD1CA3" w14:textId="77777777" w:rsidR="000522C5" w:rsidRPr="00800578" w:rsidRDefault="000522C5" w:rsidP="006371E6">
            <w:pPr>
              <w:spacing w:after="120" w:line="276" w:lineRule="auto"/>
              <w:rPr>
                <w:rFonts w:ascii="Verdana" w:hAnsi="Verdana"/>
                <w:b/>
                <w:color w:val="auto"/>
                <w:szCs w:val="20"/>
                <w:lang w:val="pl-PL"/>
              </w:rPr>
            </w:pPr>
            <w:r w:rsidRPr="00800578">
              <w:rPr>
                <w:rFonts w:ascii="Verdana" w:hAnsi="Verdana"/>
                <w:szCs w:val="20"/>
                <w:lang w:val="pl-PL"/>
              </w:rPr>
              <w:t>1. Umowa podlega prawu polskiemu i jest interpretowana zgodnie z jego przepisami.</w:t>
            </w:r>
          </w:p>
        </w:tc>
        <w:tc>
          <w:tcPr>
            <w:tcW w:w="4152" w:type="dxa"/>
          </w:tcPr>
          <w:p w14:paraId="594064E4" w14:textId="77777777" w:rsidR="000522C5" w:rsidRPr="00800578" w:rsidRDefault="00BB7C5E" w:rsidP="006371E6">
            <w:pPr>
              <w:spacing w:after="120" w:line="276" w:lineRule="auto"/>
              <w:rPr>
                <w:color w:val="auto"/>
                <w:szCs w:val="20"/>
              </w:rPr>
            </w:pPr>
            <w:r w:rsidRPr="00800578">
              <w:rPr>
                <w:color w:val="auto"/>
                <w:szCs w:val="20"/>
              </w:rPr>
              <w:t>1. This Agreement shall be governed by the law applicable in the Republic of Poland, and shall be construed in accordance therewith.</w:t>
            </w:r>
          </w:p>
        </w:tc>
      </w:tr>
      <w:tr w:rsidR="000522C5" w:rsidRPr="00800578" w14:paraId="50938729" w14:textId="77777777" w:rsidTr="007D510B">
        <w:tc>
          <w:tcPr>
            <w:tcW w:w="4151" w:type="dxa"/>
          </w:tcPr>
          <w:p w14:paraId="31D60B88" w14:textId="77777777" w:rsidR="000522C5" w:rsidRPr="00800578" w:rsidRDefault="000522C5" w:rsidP="006371E6">
            <w:pPr>
              <w:spacing w:after="120" w:line="276" w:lineRule="auto"/>
              <w:rPr>
                <w:rFonts w:ascii="Verdana" w:hAnsi="Verdana"/>
                <w:szCs w:val="20"/>
                <w:lang w:val="pl-PL"/>
              </w:rPr>
            </w:pPr>
            <w:r w:rsidRPr="00800578">
              <w:rPr>
                <w:rFonts w:ascii="Verdana" w:hAnsi="Verdana"/>
                <w:szCs w:val="20"/>
                <w:lang w:val="pl-PL"/>
              </w:rPr>
              <w:t>2. Wszelkie spory między Stronami dotyczące Umowy należy rozstrzygać polubownie.</w:t>
            </w:r>
          </w:p>
          <w:p w14:paraId="7B85348C" w14:textId="77777777" w:rsidR="000522C5" w:rsidRPr="00800578" w:rsidRDefault="000522C5" w:rsidP="006371E6">
            <w:pPr>
              <w:spacing w:after="120" w:line="276" w:lineRule="auto"/>
              <w:rPr>
                <w:rFonts w:ascii="Verdana" w:hAnsi="Verdana" w:cs="Calibri Light"/>
                <w:color w:val="auto"/>
                <w:szCs w:val="20"/>
                <w:lang w:val="pl-PL"/>
              </w:rPr>
            </w:pPr>
            <w:r w:rsidRPr="00800578">
              <w:rPr>
                <w:rFonts w:ascii="Verdana" w:hAnsi="Verdana"/>
                <w:szCs w:val="20"/>
                <w:lang w:val="pl-PL"/>
              </w:rPr>
              <w:t>W razie braku polubownego rozstrzygnięcia sporu nie krótszym niż 60 (sześćdziesiąt) dni kalendarzowych od dnia pisemnego zgłoszenia roszczenia przez Stronę, która dochodzi swoich praw, wobec Strony naruszającej, spór zostanie ostatecznie rozstrzygnięty przez polski sąd właściwy dla siedziby ŁUKASIEWICZ – PORT.</w:t>
            </w:r>
          </w:p>
        </w:tc>
        <w:tc>
          <w:tcPr>
            <w:tcW w:w="4152" w:type="dxa"/>
          </w:tcPr>
          <w:p w14:paraId="403DDE63" w14:textId="77777777" w:rsidR="0089601B" w:rsidRPr="00800578" w:rsidRDefault="0089601B" w:rsidP="006371E6">
            <w:pPr>
              <w:spacing w:after="120" w:line="276" w:lineRule="auto"/>
              <w:ind w:left="-40"/>
              <w:rPr>
                <w:color w:val="auto"/>
                <w:szCs w:val="20"/>
              </w:rPr>
            </w:pPr>
            <w:r w:rsidRPr="00800578">
              <w:rPr>
                <w:color w:val="auto"/>
                <w:szCs w:val="20"/>
              </w:rPr>
              <w:t xml:space="preserve">2. Any disputes that might arise between the Parties in relation to the Agreement shall be resolved amicably.  </w:t>
            </w:r>
          </w:p>
          <w:p w14:paraId="20895BCD" w14:textId="77777777" w:rsidR="000522C5" w:rsidRPr="00800578" w:rsidRDefault="0089601B" w:rsidP="006371E6">
            <w:pPr>
              <w:spacing w:after="120" w:line="276" w:lineRule="auto"/>
              <w:ind w:left="-40"/>
              <w:rPr>
                <w:b/>
                <w:szCs w:val="20"/>
              </w:rPr>
            </w:pPr>
            <w:r w:rsidRPr="00800578">
              <w:rPr>
                <w:szCs w:val="20"/>
              </w:rPr>
              <w:t>If a dispute is not resolved amicably within up to 60 (sixty) calendar days from the date a relevant claim is made by the affected Party against the defaulting Party, the dispute shall be resolved by the relevant court having jurisdiction over the registered office of ŁUKASIEWICZ – PORT.</w:t>
            </w:r>
          </w:p>
        </w:tc>
      </w:tr>
      <w:tr w:rsidR="000522C5" w:rsidRPr="00800578" w14:paraId="74FC8B65" w14:textId="77777777" w:rsidTr="007D510B">
        <w:tc>
          <w:tcPr>
            <w:tcW w:w="4151" w:type="dxa"/>
          </w:tcPr>
          <w:p w14:paraId="46B518DE" w14:textId="77777777" w:rsidR="000522C5" w:rsidRPr="00800578" w:rsidRDefault="000522C5" w:rsidP="006371E6">
            <w:pPr>
              <w:spacing w:after="120" w:line="276" w:lineRule="auto"/>
              <w:rPr>
                <w:rFonts w:ascii="Verdana" w:hAnsi="Verdana"/>
                <w:b/>
                <w:color w:val="auto"/>
                <w:szCs w:val="20"/>
                <w:lang w:val="pl-PL"/>
              </w:rPr>
            </w:pPr>
            <w:r w:rsidRPr="00800578">
              <w:rPr>
                <w:rFonts w:ascii="Verdana" w:hAnsi="Verdana"/>
                <w:color w:val="auto"/>
                <w:szCs w:val="20"/>
                <w:lang w:val="pl-PL"/>
              </w:rPr>
              <w:t>3.</w:t>
            </w:r>
            <w:r w:rsidRPr="00800578">
              <w:rPr>
                <w:rFonts w:ascii="Verdana" w:hAnsi="Verdana"/>
                <w:b/>
                <w:color w:val="auto"/>
                <w:szCs w:val="20"/>
                <w:lang w:val="pl-PL"/>
              </w:rPr>
              <w:t xml:space="preserve"> </w:t>
            </w:r>
            <w:r w:rsidRPr="00800578">
              <w:rPr>
                <w:rFonts w:ascii="Verdana" w:hAnsi="Verdana" w:cs="Calibri Light"/>
                <w:szCs w:val="20"/>
                <w:lang w:val="pl-PL"/>
              </w:rPr>
              <w:t>Zmiany Umowy wymagają zachowania formy pisemnej pod rygorem nieważności.</w:t>
            </w:r>
          </w:p>
        </w:tc>
        <w:tc>
          <w:tcPr>
            <w:tcW w:w="4152" w:type="dxa"/>
          </w:tcPr>
          <w:p w14:paraId="2C87E8D9" w14:textId="77777777" w:rsidR="000522C5" w:rsidRPr="00800578" w:rsidRDefault="0089601B" w:rsidP="006371E6">
            <w:pPr>
              <w:spacing w:after="120" w:line="276" w:lineRule="auto"/>
              <w:rPr>
                <w:color w:val="auto"/>
                <w:szCs w:val="20"/>
              </w:rPr>
            </w:pPr>
            <w:r w:rsidRPr="00800578">
              <w:rPr>
                <w:color w:val="auto"/>
                <w:szCs w:val="20"/>
              </w:rPr>
              <w:t>3. Any amendments hereto shall be made in writing and shall otherwise be null and void.</w:t>
            </w:r>
          </w:p>
        </w:tc>
      </w:tr>
      <w:tr w:rsidR="000522C5" w:rsidRPr="00800578" w14:paraId="409A92E5" w14:textId="77777777" w:rsidTr="007D510B">
        <w:tc>
          <w:tcPr>
            <w:tcW w:w="4151" w:type="dxa"/>
          </w:tcPr>
          <w:p w14:paraId="177C953C" w14:textId="77777777" w:rsidR="000522C5" w:rsidRPr="00800578" w:rsidRDefault="000522C5" w:rsidP="006371E6">
            <w:pPr>
              <w:spacing w:after="120" w:line="276" w:lineRule="auto"/>
              <w:rPr>
                <w:rFonts w:ascii="Verdana" w:hAnsi="Verdana"/>
                <w:b/>
                <w:color w:val="auto"/>
                <w:szCs w:val="20"/>
                <w:lang w:val="pl-PL"/>
              </w:rPr>
            </w:pPr>
            <w:r w:rsidRPr="00800578">
              <w:rPr>
                <w:rFonts w:ascii="Verdana" w:hAnsi="Verdana"/>
                <w:color w:val="auto"/>
                <w:szCs w:val="20"/>
                <w:lang w:val="pl-PL"/>
              </w:rPr>
              <w:t>4.</w:t>
            </w:r>
            <w:r w:rsidRPr="00800578">
              <w:rPr>
                <w:rFonts w:ascii="Verdana" w:hAnsi="Verdana"/>
                <w:b/>
                <w:color w:val="auto"/>
                <w:szCs w:val="20"/>
                <w:lang w:val="pl-PL"/>
              </w:rPr>
              <w:t xml:space="preserve"> </w:t>
            </w:r>
            <w:r w:rsidRPr="00800578">
              <w:rPr>
                <w:rFonts w:ascii="Verdana" w:hAnsi="Verdana"/>
                <w:szCs w:val="20"/>
                <w:lang w:val="pl-PL"/>
              </w:rPr>
              <w:t>Umowę sporządzono w dwóch (2) oryginalnych egzemplarzach, po jednym dla każdej ze Stron, podpisanych przez ich upoważnionych przedstawicieli.</w:t>
            </w:r>
          </w:p>
        </w:tc>
        <w:tc>
          <w:tcPr>
            <w:tcW w:w="4152" w:type="dxa"/>
          </w:tcPr>
          <w:p w14:paraId="2175D5DF" w14:textId="77777777" w:rsidR="000522C5" w:rsidRPr="00800578" w:rsidRDefault="0089601B" w:rsidP="006371E6">
            <w:pPr>
              <w:spacing w:after="120" w:line="276" w:lineRule="auto"/>
              <w:rPr>
                <w:color w:val="auto"/>
                <w:szCs w:val="20"/>
              </w:rPr>
            </w:pPr>
            <w:r w:rsidRPr="00800578">
              <w:rPr>
                <w:color w:val="auto"/>
                <w:szCs w:val="20"/>
              </w:rPr>
              <w:t>4. This Agreement was drawn up in duplicate, with one copy, signed by the authorised representatives, for each of the Parties.</w:t>
            </w:r>
          </w:p>
        </w:tc>
      </w:tr>
      <w:tr w:rsidR="006371E6" w:rsidRPr="00800578" w14:paraId="6A9F7B45" w14:textId="77777777" w:rsidTr="007D510B">
        <w:tc>
          <w:tcPr>
            <w:tcW w:w="4151" w:type="dxa"/>
          </w:tcPr>
          <w:p w14:paraId="17FECBA4" w14:textId="1D160E90" w:rsidR="006371E6" w:rsidRPr="00800578" w:rsidRDefault="006371E6" w:rsidP="006371E6">
            <w:pPr>
              <w:spacing w:after="120" w:line="276" w:lineRule="auto"/>
              <w:rPr>
                <w:rFonts w:ascii="Verdana" w:hAnsi="Verdana"/>
                <w:szCs w:val="20"/>
                <w:lang w:val="pl-PL"/>
              </w:rPr>
            </w:pPr>
            <w:r w:rsidRPr="00800578">
              <w:rPr>
                <w:rFonts w:ascii="Verdana" w:hAnsi="Verdana"/>
                <w:szCs w:val="20"/>
                <w:lang w:val="pl-PL"/>
              </w:rPr>
              <w:t>5. Językiem autentycznym niniejszego dokumentu jest język polski. W przypadku jeśli niniejszy dokument sporządzony jest również w innych językach, wiążąca jest jego polska wersja językowa</w:t>
            </w:r>
          </w:p>
        </w:tc>
        <w:tc>
          <w:tcPr>
            <w:tcW w:w="4152" w:type="dxa"/>
          </w:tcPr>
          <w:p w14:paraId="192D5722" w14:textId="7F83A072" w:rsidR="006371E6" w:rsidRPr="00800578" w:rsidRDefault="006371E6" w:rsidP="006371E6">
            <w:pPr>
              <w:spacing w:after="120" w:line="276" w:lineRule="auto"/>
              <w:rPr>
                <w:rFonts w:ascii="Verdana" w:hAnsi="Verdana"/>
                <w:szCs w:val="20"/>
              </w:rPr>
            </w:pPr>
            <w:r w:rsidRPr="00800578">
              <w:rPr>
                <w:rFonts w:ascii="Verdana" w:hAnsi="Verdana"/>
                <w:szCs w:val="20"/>
              </w:rPr>
              <w:t>5. The Polish language shall be the authentic language of the present document. Should this document be made also in other language versions, in case of any discrepancies the Polish language version shall prevail.</w:t>
            </w:r>
          </w:p>
          <w:p w14:paraId="24D71724" w14:textId="77777777" w:rsidR="006371E6" w:rsidRPr="00800578" w:rsidRDefault="006371E6" w:rsidP="006371E6">
            <w:pPr>
              <w:spacing w:after="120" w:line="276" w:lineRule="auto"/>
              <w:rPr>
                <w:rFonts w:ascii="Verdana" w:hAnsi="Verdana"/>
                <w:szCs w:val="20"/>
              </w:rPr>
            </w:pPr>
          </w:p>
        </w:tc>
      </w:tr>
      <w:tr w:rsidR="000522C5" w14:paraId="0637E7AE" w14:textId="77777777" w:rsidTr="007D510B">
        <w:tc>
          <w:tcPr>
            <w:tcW w:w="4151" w:type="dxa"/>
          </w:tcPr>
          <w:p w14:paraId="05022E97" w14:textId="77777777" w:rsidR="00885743" w:rsidRPr="00800578" w:rsidRDefault="000522C5" w:rsidP="006371E6">
            <w:pPr>
              <w:spacing w:after="120" w:line="276" w:lineRule="auto"/>
              <w:jc w:val="center"/>
              <w:rPr>
                <w:rFonts w:ascii="Verdana" w:hAnsi="Verdana" w:cs="Tahoma"/>
                <w:b/>
                <w:color w:val="auto"/>
                <w:szCs w:val="20"/>
                <w:lang w:val="pl-PL"/>
              </w:rPr>
            </w:pPr>
            <w:r w:rsidRPr="00800578">
              <w:rPr>
                <w:rFonts w:ascii="Verdana" w:hAnsi="Verdana"/>
                <w:b/>
                <w:color w:val="auto"/>
                <w:szCs w:val="20"/>
                <w:lang w:val="pl-PL"/>
              </w:rPr>
              <w:t xml:space="preserve">ŁUKASIEWICZ – </w:t>
            </w:r>
            <w:r w:rsidR="00885743" w:rsidRPr="00800578">
              <w:rPr>
                <w:rFonts w:ascii="Verdana" w:hAnsi="Verdana" w:cs="Tahoma"/>
                <w:b/>
                <w:color w:val="auto"/>
                <w:szCs w:val="20"/>
                <w:lang w:val="pl-PL"/>
              </w:rPr>
              <w:t>PORT</w:t>
            </w:r>
          </w:p>
          <w:p w14:paraId="3FC210B3" w14:textId="77777777" w:rsidR="00885743" w:rsidRPr="00800578" w:rsidRDefault="00885743" w:rsidP="006371E6">
            <w:pPr>
              <w:spacing w:after="120" w:line="276" w:lineRule="auto"/>
              <w:jc w:val="center"/>
              <w:rPr>
                <w:rFonts w:ascii="Verdana" w:hAnsi="Verdana" w:cs="Tahoma"/>
                <w:b/>
                <w:color w:val="auto"/>
                <w:szCs w:val="20"/>
                <w:lang w:val="pl-PL"/>
              </w:rPr>
            </w:pPr>
          </w:p>
          <w:p w14:paraId="13078590" w14:textId="2AFA9D56" w:rsidR="000522C5" w:rsidRPr="00800578" w:rsidRDefault="000522C5" w:rsidP="006371E6">
            <w:pPr>
              <w:spacing w:after="120" w:line="276" w:lineRule="auto"/>
              <w:rPr>
                <w:rFonts w:ascii="Verdana" w:hAnsi="Verdana"/>
                <w:b/>
                <w:color w:val="auto"/>
                <w:szCs w:val="20"/>
                <w:lang w:val="pl-PL"/>
              </w:rPr>
            </w:pPr>
          </w:p>
        </w:tc>
        <w:tc>
          <w:tcPr>
            <w:tcW w:w="4152" w:type="dxa"/>
          </w:tcPr>
          <w:p w14:paraId="085028BF" w14:textId="37C63E26" w:rsidR="000522C5" w:rsidRDefault="006371E6" w:rsidP="006371E6">
            <w:pPr>
              <w:spacing w:after="120" w:line="276" w:lineRule="auto"/>
              <w:jc w:val="center"/>
              <w:rPr>
                <w:b/>
                <w:color w:val="auto"/>
                <w:szCs w:val="20"/>
              </w:rPr>
            </w:pPr>
            <w:r w:rsidRPr="00800578">
              <w:rPr>
                <w:rFonts w:ascii="Verdana" w:hAnsi="Verdana"/>
                <w:b/>
                <w:bCs/>
                <w:color w:val="auto"/>
                <w:sz w:val="18"/>
                <w:szCs w:val="18"/>
              </w:rPr>
              <w:t>[____]</w:t>
            </w:r>
          </w:p>
        </w:tc>
      </w:tr>
      <w:tr w:rsidR="006371E6" w14:paraId="5548B620" w14:textId="77777777" w:rsidTr="007D510B">
        <w:tc>
          <w:tcPr>
            <w:tcW w:w="4151" w:type="dxa"/>
          </w:tcPr>
          <w:p w14:paraId="5743A01E" w14:textId="77777777" w:rsidR="006371E6" w:rsidRPr="00236EA3" w:rsidRDefault="006371E6" w:rsidP="009738C3">
            <w:pPr>
              <w:spacing w:after="120" w:line="276" w:lineRule="auto"/>
              <w:rPr>
                <w:rFonts w:ascii="Verdana" w:hAnsi="Verdana"/>
                <w:b/>
                <w:color w:val="auto"/>
                <w:szCs w:val="20"/>
                <w:lang w:val="pl-PL"/>
              </w:rPr>
            </w:pPr>
          </w:p>
        </w:tc>
        <w:tc>
          <w:tcPr>
            <w:tcW w:w="4152" w:type="dxa"/>
          </w:tcPr>
          <w:p w14:paraId="58627C55" w14:textId="77777777" w:rsidR="006371E6" w:rsidRDefault="006371E6" w:rsidP="006371E6">
            <w:pPr>
              <w:spacing w:after="120" w:line="276" w:lineRule="auto"/>
              <w:jc w:val="left"/>
              <w:rPr>
                <w:b/>
                <w:color w:val="auto"/>
                <w:szCs w:val="20"/>
              </w:rPr>
            </w:pPr>
          </w:p>
        </w:tc>
      </w:tr>
    </w:tbl>
    <w:p w14:paraId="0C61BC98" w14:textId="77777777" w:rsidR="000522C5" w:rsidRDefault="000522C5" w:rsidP="006371E6">
      <w:pPr>
        <w:spacing w:after="120" w:line="276" w:lineRule="auto"/>
        <w:jc w:val="center"/>
        <w:rPr>
          <w:b/>
          <w:color w:val="auto"/>
          <w:szCs w:val="20"/>
        </w:rPr>
      </w:pPr>
    </w:p>
    <w:sectPr w:rsidR="000522C5" w:rsidSect="00B4089B">
      <w:footerReference w:type="default" r:id="rId8"/>
      <w:headerReference w:type="first" r:id="rId9"/>
      <w:footerReference w:type="first" r:id="rId10"/>
      <w:pgSz w:w="11906" w:h="16838" w:code="9"/>
      <w:pgMar w:top="1418" w:right="1021" w:bottom="1702"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F686" w14:textId="77777777" w:rsidR="00EA0A55" w:rsidRDefault="00EA0A55" w:rsidP="006747BD">
      <w:pPr>
        <w:spacing w:after="0" w:line="240" w:lineRule="auto"/>
      </w:pPr>
      <w:r>
        <w:separator/>
      </w:r>
    </w:p>
  </w:endnote>
  <w:endnote w:type="continuationSeparator" w:id="0">
    <w:p w14:paraId="2AF701F1" w14:textId="77777777" w:rsidR="00EA0A55" w:rsidRDefault="00EA0A55"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Roboto Lt">
    <w:panose1 w:val="00000000000000000000"/>
    <w:charset w:val="EE"/>
    <w:family w:val="auto"/>
    <w:pitch w:val="variable"/>
    <w:sig w:usb0="E00002EF" w:usb1="5000205B" w:usb2="0000002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75AF7AB3" w14:textId="5A74AF4B" w:rsidR="00D40690" w:rsidRDefault="00CD5D40">
            <w:pPr>
              <w:pStyle w:val="Stopka"/>
            </w:pPr>
            <w:r w:rsidRPr="00235BF2">
              <w:rPr>
                <w:rFonts w:ascii="Verdana" w:eastAsia="Verdana" w:hAnsi="Verdana" w:cs="Times New Roman"/>
                <w:b w:val="0"/>
                <w:noProof/>
                <w:color w:val="000000"/>
                <w:lang w:eastAsia="pl-PL"/>
              </w:rPr>
              <w:drawing>
                <wp:inline distT="0" distB="0" distL="0" distR="0" wp14:anchorId="4975BBB1" wp14:editId="18912BE8">
                  <wp:extent cx="5183505" cy="46164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Obraz 239"/>
                          <pic:cNvPicPr/>
                        </pic:nvPicPr>
                        <pic:blipFill>
                          <a:blip r:embed="rId1">
                            <a:extLst>
                              <a:ext uri="{28A0092B-C50C-407E-A947-70E740481C1C}">
                                <a14:useLocalDpi xmlns:a14="http://schemas.microsoft.com/office/drawing/2010/main" val="0"/>
                              </a:ext>
                            </a:extLst>
                          </a:blip>
                          <a:stretch>
                            <a:fillRect/>
                          </a:stretch>
                        </pic:blipFill>
                        <pic:spPr>
                          <a:xfrm>
                            <a:off x="0" y="0"/>
                            <a:ext cx="5183505" cy="461645"/>
                          </a:xfrm>
                          <a:prstGeom prst="rect">
                            <a:avLst/>
                          </a:prstGeom>
                        </pic:spPr>
                      </pic:pic>
                    </a:graphicData>
                  </a:graphic>
                </wp:inline>
              </w:drawing>
            </w:r>
            <w:r w:rsidR="00D40690">
              <w:t xml:space="preserve">Page </w:t>
            </w:r>
            <w:r w:rsidR="00E02974">
              <w:rPr>
                <w:b w:val="0"/>
                <w:bCs/>
                <w:sz w:val="24"/>
                <w:szCs w:val="24"/>
              </w:rPr>
              <w:fldChar w:fldCharType="begin"/>
            </w:r>
            <w:r w:rsidR="00D40690">
              <w:rPr>
                <w:bCs/>
              </w:rPr>
              <w:instrText>PAGE</w:instrText>
            </w:r>
            <w:r w:rsidR="00E02974">
              <w:rPr>
                <w:b w:val="0"/>
                <w:bCs/>
                <w:sz w:val="24"/>
                <w:szCs w:val="24"/>
              </w:rPr>
              <w:fldChar w:fldCharType="separate"/>
            </w:r>
            <w:r w:rsidR="00C22A54">
              <w:rPr>
                <w:bCs/>
                <w:noProof/>
              </w:rPr>
              <w:t>11</w:t>
            </w:r>
            <w:r w:rsidR="00E02974">
              <w:rPr>
                <w:b w:val="0"/>
                <w:bCs/>
                <w:sz w:val="24"/>
                <w:szCs w:val="24"/>
              </w:rPr>
              <w:fldChar w:fldCharType="end"/>
            </w:r>
            <w:r w:rsidR="00D40690">
              <w:t xml:space="preserve"> of </w:t>
            </w:r>
            <w:r w:rsidR="00E02974">
              <w:rPr>
                <w:b w:val="0"/>
                <w:bCs/>
                <w:sz w:val="24"/>
                <w:szCs w:val="24"/>
              </w:rPr>
              <w:fldChar w:fldCharType="begin"/>
            </w:r>
            <w:r w:rsidR="00D40690">
              <w:rPr>
                <w:bCs/>
              </w:rPr>
              <w:instrText>NUMPAGES</w:instrText>
            </w:r>
            <w:r w:rsidR="00E02974">
              <w:rPr>
                <w:b w:val="0"/>
                <w:bCs/>
                <w:sz w:val="24"/>
                <w:szCs w:val="24"/>
              </w:rPr>
              <w:fldChar w:fldCharType="separate"/>
            </w:r>
            <w:r w:rsidR="00C22A54">
              <w:rPr>
                <w:bCs/>
                <w:noProof/>
              </w:rPr>
              <w:t>11</w:t>
            </w:r>
            <w:r w:rsidR="00E02974">
              <w:rPr>
                <w:b w:val="0"/>
                <w:bCs/>
                <w:sz w:val="24"/>
                <w:szCs w:val="24"/>
              </w:rPr>
              <w:fldChar w:fldCharType="end"/>
            </w:r>
          </w:p>
        </w:sdtContent>
      </w:sdt>
    </w:sdtContent>
  </w:sdt>
  <w:p w14:paraId="68030FB9" w14:textId="7EF4257A" w:rsidR="00D40690" w:rsidRDefault="00DA52A1">
    <w:pPr>
      <w:pStyle w:val="Stopka"/>
    </w:pPr>
    <w:r>
      <w:rPr>
        <w:noProof/>
        <w:lang w:val="pl-PL" w:eastAsia="pl-PL"/>
      </w:rPr>
      <w:drawing>
        <wp:anchor distT="0" distB="0" distL="114300" distR="114300" simplePos="0" relativeHeight="251671552" behindDoc="1" locked="1" layoutInCell="1" allowOverlap="1" wp14:anchorId="45CC568E" wp14:editId="4B214E0B">
          <wp:simplePos x="0" y="0"/>
          <wp:positionH relativeFrom="column">
            <wp:posOffset>4589780</wp:posOffset>
          </wp:positionH>
          <wp:positionV relativeFrom="page">
            <wp:posOffset>9825990</wp:posOffset>
          </wp:positionV>
          <wp:extent cx="1231200" cy="849600"/>
          <wp:effectExtent l="0" t="0" r="0" b="0"/>
          <wp:wrapNone/>
          <wp:docPr id="192" name="Obraz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sidR="007D510B">
      <w:rPr>
        <w:noProof/>
      </w:rPr>
      <mc:AlternateContent>
        <mc:Choice Requires="wps">
          <w:drawing>
            <wp:anchor distT="0" distB="0" distL="114300" distR="114300" simplePos="0" relativeHeight="251672576" behindDoc="1" locked="1" layoutInCell="1" allowOverlap="1" wp14:anchorId="57BBC846" wp14:editId="20C9F621">
              <wp:simplePos x="0" y="0"/>
              <wp:positionH relativeFrom="margin">
                <wp:posOffset>-4445</wp:posOffset>
              </wp:positionH>
              <wp:positionV relativeFrom="page">
                <wp:posOffset>9822180</wp:posOffset>
              </wp:positionV>
              <wp:extent cx="4269740" cy="75565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755650"/>
                      </a:xfrm>
                      <a:prstGeom prst="rect">
                        <a:avLst/>
                      </a:prstGeom>
                      <a:noFill/>
                      <a:ln w="9525">
                        <a:noFill/>
                        <a:miter lim="800000"/>
                        <a:headEnd/>
                        <a:tailEnd/>
                      </a:ln>
                    </wps:spPr>
                    <wps:txbx>
                      <w:txbxContent>
                        <w:p w14:paraId="756AEE2F" w14:textId="77777777" w:rsidR="00A4666C" w:rsidRDefault="00A4666C" w:rsidP="00A4666C">
                          <w:pPr>
                            <w:pStyle w:val="LukStopka-adres"/>
                          </w:pPr>
                          <w:r>
                            <w:t>Łukasiewicz Research Network – PORT Polish Center for Technology Development</w:t>
                          </w:r>
                        </w:p>
                        <w:p w14:paraId="22407EE2" w14:textId="77777777" w:rsidR="00A4666C" w:rsidRPr="00710A29" w:rsidRDefault="00A4666C" w:rsidP="00A4666C">
                          <w:pPr>
                            <w:pStyle w:val="LukStopka-adres"/>
                            <w:rPr>
                              <w:lang w:val="pl-PL"/>
                            </w:rPr>
                          </w:pPr>
                          <w:r w:rsidRPr="00710A29">
                            <w:rPr>
                              <w:lang w:val="pl-PL"/>
                            </w:rPr>
                            <w:t>54-066 Wrocław, ul. Stabłowicka 147, Tel: +48 71 734 77 77, Fax: +48 71 720 16 00</w:t>
                          </w:r>
                        </w:p>
                        <w:p w14:paraId="4CB09D63" w14:textId="5D13374C" w:rsidR="00DA52A1" w:rsidRPr="00ED7972" w:rsidRDefault="00B8339E" w:rsidP="006F645A">
                          <w:pPr>
                            <w:pStyle w:val="LukStopka-adres"/>
                          </w:pPr>
                          <w:r>
                            <w:t>E-mail: biuro@port.lukasiewicz.gov.pl | NIP (Tax ID): 894 314 05 23, REGON (Business Registry Number): 386585168</w:t>
                          </w:r>
                          <w:r w:rsidR="006371E6">
                            <w:t xml:space="preserve"> </w:t>
                          </w:r>
                          <w:r w:rsidR="00ED7972">
                            <w:t>Wrocław-Fabryczna District Court in Wrocław, 6th Commercial Division of the National Court Register (KRS) KRS No.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7BBC846"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5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" filled="f" stroked="f">
              <o:lock v:ext="edit" aspectratio="t"/>
              <v:textbox style="mso-fit-shape-to-text:t" inset="0,0,0,0">
                <w:txbxContent>
                  <w:p w14:paraId="756AEE2F" w14:textId="77777777" w:rsidR="00A4666C" w:rsidRDefault="00A4666C" w:rsidP="00A4666C">
                    <w:pPr>
                      <w:pStyle w:val="LukStopka-adres"/>
                    </w:pPr>
                    <w:r>
                      <w:t>Łukasiewicz Research Network – PORT Polish Center for Technology Development</w:t>
                    </w:r>
                  </w:p>
                  <w:p w14:paraId="22407EE2" w14:textId="77777777" w:rsidR="00A4666C" w:rsidRPr="00710A29" w:rsidRDefault="00A4666C" w:rsidP="00A4666C">
                    <w:pPr>
                      <w:pStyle w:val="LukStopka-adres"/>
                      <w:rPr>
                        <w:lang w:val="pl-PL"/>
                      </w:rPr>
                    </w:pPr>
                    <w:r w:rsidRPr="00710A29">
                      <w:rPr>
                        <w:lang w:val="pl-PL"/>
                      </w:rPr>
                      <w:t>54-066 Wrocław, ul. Stabłowicka 147, Tel: +48 71 734 77 77, Fax: +48 71 720 16 00</w:t>
                    </w:r>
                  </w:p>
                  <w:p w14:paraId="4CB09D63" w14:textId="5D13374C" w:rsidR="00DA52A1" w:rsidRPr="00ED7972" w:rsidRDefault="00B8339E" w:rsidP="006F645A">
                    <w:pPr>
                      <w:pStyle w:val="LukStopka-adres"/>
                    </w:pPr>
                    <w:r>
                      <w:t>E-mail: biuro@port.lukasiewicz.gov.pl | NIP (Tax ID): 894 314 05 23, REGON (Business Registry Number): 386585168</w:t>
                    </w:r>
                    <w:r w:rsidR="006371E6">
                      <w:t xml:space="preserve"> </w:t>
                    </w:r>
                    <w:r w:rsidR="00ED7972">
                      <w:t>Wrocław-Fabryczna District Court in Wrocław, 6th Commercial Division of the National Court Register (KRS) KRS No. 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D6EFDF7" w14:textId="19EEE3DE" w:rsidR="004F5805" w:rsidRPr="00D40690" w:rsidRDefault="00CD5D40" w:rsidP="00D40690">
            <w:pPr>
              <w:pStyle w:val="Stopka"/>
            </w:pPr>
            <w:r w:rsidRPr="00235BF2">
              <w:rPr>
                <w:rFonts w:ascii="Verdana" w:eastAsia="Verdana" w:hAnsi="Verdana" w:cs="Times New Roman"/>
                <w:b w:val="0"/>
                <w:noProof/>
                <w:color w:val="000000"/>
                <w:lang w:eastAsia="pl-PL"/>
              </w:rPr>
              <w:drawing>
                <wp:inline distT="0" distB="0" distL="0" distR="0" wp14:anchorId="7CA86E72" wp14:editId="71C303B4">
                  <wp:extent cx="5183505" cy="4616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Obraz 239"/>
                          <pic:cNvPicPr/>
                        </pic:nvPicPr>
                        <pic:blipFill>
                          <a:blip r:embed="rId1">
                            <a:extLst>
                              <a:ext uri="{28A0092B-C50C-407E-A947-70E740481C1C}">
                                <a14:useLocalDpi xmlns:a14="http://schemas.microsoft.com/office/drawing/2010/main" val="0"/>
                              </a:ext>
                            </a:extLst>
                          </a:blip>
                          <a:stretch>
                            <a:fillRect/>
                          </a:stretch>
                        </pic:blipFill>
                        <pic:spPr>
                          <a:xfrm>
                            <a:off x="0" y="0"/>
                            <a:ext cx="5183505" cy="461645"/>
                          </a:xfrm>
                          <a:prstGeom prst="rect">
                            <a:avLst/>
                          </a:prstGeom>
                        </pic:spPr>
                      </pic:pic>
                    </a:graphicData>
                  </a:graphic>
                </wp:inline>
              </w:drawing>
            </w:r>
            <w:r w:rsidR="004F5805">
              <w:t xml:space="preserve">Page </w:t>
            </w:r>
            <w:r w:rsidR="00E02974" w:rsidRPr="00D40690">
              <w:fldChar w:fldCharType="begin"/>
            </w:r>
            <w:r w:rsidR="004F5805" w:rsidRPr="00D40690">
              <w:instrText>PAGE</w:instrText>
            </w:r>
            <w:r w:rsidR="00E02974" w:rsidRPr="00D40690">
              <w:fldChar w:fldCharType="separate"/>
            </w:r>
            <w:r w:rsidR="00C22A54">
              <w:rPr>
                <w:noProof/>
              </w:rPr>
              <w:t>1</w:t>
            </w:r>
            <w:r w:rsidR="00E02974" w:rsidRPr="00D40690">
              <w:fldChar w:fldCharType="end"/>
            </w:r>
            <w:r w:rsidR="004F5805">
              <w:t xml:space="preserve"> out of </w:t>
            </w:r>
            <w:r w:rsidR="00E02974" w:rsidRPr="00D40690">
              <w:fldChar w:fldCharType="begin"/>
            </w:r>
            <w:r w:rsidR="004F5805" w:rsidRPr="00D40690">
              <w:instrText>NUMPAGES</w:instrText>
            </w:r>
            <w:r w:rsidR="00E02974" w:rsidRPr="00D40690">
              <w:fldChar w:fldCharType="separate"/>
            </w:r>
            <w:r w:rsidR="00C22A54">
              <w:rPr>
                <w:noProof/>
              </w:rPr>
              <w:t>11</w:t>
            </w:r>
            <w:r w:rsidR="00E02974" w:rsidRPr="00D40690">
              <w:fldChar w:fldCharType="end"/>
            </w:r>
          </w:p>
        </w:sdtContent>
      </w:sdt>
    </w:sdtContent>
  </w:sdt>
  <w:p w14:paraId="1611BE7B" w14:textId="1C08AB09" w:rsidR="003F4BA3" w:rsidRPr="00D06D36" w:rsidRDefault="004F5805" w:rsidP="00D06D36">
    <w:pPr>
      <w:pStyle w:val="LukStopka-adres"/>
      <w:rPr>
        <w:spacing w:val="2"/>
      </w:rPr>
    </w:pPr>
    <w:r>
      <w:rPr>
        <w:lang w:val="pl-PL" w:eastAsia="pl-PL"/>
      </w:rPr>
      <w:drawing>
        <wp:anchor distT="0" distB="0" distL="114300" distR="114300" simplePos="0" relativeHeight="251661312" behindDoc="1" locked="1" layoutInCell="1" allowOverlap="1" wp14:anchorId="3E54E414" wp14:editId="59BEB69F">
          <wp:simplePos x="0" y="0"/>
          <wp:positionH relativeFrom="column">
            <wp:posOffset>4594627</wp:posOffset>
          </wp:positionH>
          <wp:positionV relativeFrom="page">
            <wp:posOffset>9846945</wp:posOffset>
          </wp:positionV>
          <wp:extent cx="1231200" cy="849600"/>
          <wp:effectExtent l="0" t="0" r="0" b="0"/>
          <wp:wrapNone/>
          <wp:docPr id="194" name="Obraz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sidR="007D510B">
      <mc:AlternateContent>
        <mc:Choice Requires="wps">
          <w:drawing>
            <wp:anchor distT="0" distB="0" distL="114300" distR="114300" simplePos="0" relativeHeight="251662336" behindDoc="1" locked="1" layoutInCell="1" allowOverlap="1" wp14:anchorId="0470C60F" wp14:editId="06739ADC">
              <wp:simplePos x="0" y="0"/>
              <wp:positionH relativeFrom="margin">
                <wp:align>left</wp:align>
              </wp:positionH>
              <wp:positionV relativeFrom="page">
                <wp:posOffset>9841230</wp:posOffset>
              </wp:positionV>
              <wp:extent cx="4269105" cy="755650"/>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755650"/>
                      </a:xfrm>
                      <a:prstGeom prst="rect">
                        <a:avLst/>
                      </a:prstGeom>
                      <a:noFill/>
                      <a:ln w="9525">
                        <a:noFill/>
                        <a:miter lim="800000"/>
                        <a:headEnd/>
                        <a:tailEnd/>
                      </a:ln>
                    </wps:spPr>
                    <wps:txbx>
                      <w:txbxContent>
                        <w:p w14:paraId="511E4219" w14:textId="77777777" w:rsidR="00DA52A1" w:rsidRDefault="00DA52A1" w:rsidP="00DA52A1">
                          <w:pPr>
                            <w:pStyle w:val="LukStopka-adres"/>
                          </w:pPr>
                          <w:r>
                            <w:t>Łukasiewicz Research Network – PORT Polish Center for Technology Development</w:t>
                          </w:r>
                        </w:p>
                        <w:p w14:paraId="10DA9625" w14:textId="77777777" w:rsidR="00DA52A1" w:rsidRPr="00710A29" w:rsidRDefault="005D102F" w:rsidP="00DA52A1">
                          <w:pPr>
                            <w:pStyle w:val="LukStopka-adres"/>
                            <w:rPr>
                              <w:lang w:val="pl-PL"/>
                            </w:rPr>
                          </w:pPr>
                          <w:r w:rsidRPr="00710A29">
                            <w:rPr>
                              <w:lang w:val="pl-PL"/>
                            </w:rPr>
                            <w:t>54-066 Wrocław, ul. Stabłowicka 147, Tel: +48 71 734 77 77, Fax: +48 71 720 16 00</w:t>
                          </w:r>
                        </w:p>
                        <w:p w14:paraId="238FF2EE" w14:textId="3C2EA58C" w:rsidR="004F5805" w:rsidRPr="00ED7972" w:rsidRDefault="00DA52A1" w:rsidP="00ED7972">
                          <w:pPr>
                            <w:pStyle w:val="LukStopka-adres"/>
                          </w:pPr>
                          <w:r>
                            <w:t>E-mail: biuro@port.lukasiewicz.gov.pl | NIP (Tax ID): 894 314 05 23, REGON (Business Registry Number): 386585168</w:t>
                          </w:r>
                          <w:r w:rsidR="006371E6">
                            <w:t xml:space="preserve"> </w:t>
                          </w:r>
                          <w:r w:rsidR="00ED7972">
                            <w:t>Wrocław-Fabryczna District Court in Wrocław, 6th Commercial Division of the National Court Register (KRS) KRS No.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470C60F" id="_x0000_t202" coordsize="21600,21600" o:spt="202" path="m,l,21600r21600,l21600,xe">
              <v:stroke joinstyle="miter"/>
              <v:path gradientshapeok="t" o:connecttype="rect"/>
            </v:shapetype>
            <v:shape id="_x0000_s1027" type="#_x0000_t202" style="position:absolute;margin-left:0;margin-top:774.9pt;width:336.15pt;height:59.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" filled="f" stroked="f">
              <o:lock v:ext="edit" aspectratio="t"/>
              <v:textbox style="mso-fit-shape-to-text:t" inset="0,0,0,0">
                <w:txbxContent>
                  <w:p w14:paraId="511E4219" w14:textId="77777777" w:rsidR="00DA52A1" w:rsidRDefault="00DA52A1" w:rsidP="00DA52A1">
                    <w:pPr>
                      <w:pStyle w:val="LukStopka-adres"/>
                    </w:pPr>
                    <w:r>
                      <w:t>Łukasiewicz Research Network – PORT Polish Center for Technology Development</w:t>
                    </w:r>
                  </w:p>
                  <w:p w14:paraId="10DA9625" w14:textId="77777777" w:rsidR="00DA52A1" w:rsidRPr="00710A29" w:rsidRDefault="005D102F" w:rsidP="00DA52A1">
                    <w:pPr>
                      <w:pStyle w:val="LukStopka-adres"/>
                      <w:rPr>
                        <w:lang w:val="pl-PL"/>
                      </w:rPr>
                    </w:pPr>
                    <w:r w:rsidRPr="00710A29">
                      <w:rPr>
                        <w:lang w:val="pl-PL"/>
                      </w:rPr>
                      <w:t>54-066 Wrocław, ul. Stabłowicka 147, Tel: +48 71 734 77 77, Fax: +48 71 720 16 00</w:t>
                    </w:r>
                  </w:p>
                  <w:p w14:paraId="238FF2EE" w14:textId="3C2EA58C" w:rsidR="004F5805" w:rsidRPr="00ED7972" w:rsidRDefault="00DA52A1" w:rsidP="00ED7972">
                    <w:pPr>
                      <w:pStyle w:val="LukStopka-adres"/>
                    </w:pPr>
                    <w:r>
                      <w:t>E-mail: biuro@port.lukasiewicz.gov.pl | NIP (Tax ID): 894 314 05 23, REGON (Business Registry Number): 386585168</w:t>
                    </w:r>
                    <w:r w:rsidR="006371E6">
                      <w:t xml:space="preserve"> </w:t>
                    </w:r>
                    <w:r w:rsidR="00ED7972">
                      <w:t>Wrocław-Fabryczna District Court in Wrocław, 6th Commercial Division of the National Court Register (KRS) KRS No. 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AE442" w14:textId="77777777" w:rsidR="00EA0A55" w:rsidRDefault="00EA0A55" w:rsidP="006747BD">
      <w:pPr>
        <w:spacing w:after="0" w:line="240" w:lineRule="auto"/>
      </w:pPr>
      <w:r>
        <w:separator/>
      </w:r>
    </w:p>
  </w:footnote>
  <w:footnote w:type="continuationSeparator" w:id="0">
    <w:p w14:paraId="6A7B3D58" w14:textId="77777777" w:rsidR="00EA0A55" w:rsidRDefault="00EA0A55"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A094" w14:textId="77777777" w:rsidR="006747BD" w:rsidRPr="00DA52A1" w:rsidRDefault="005D102F">
    <w:pPr>
      <w:pStyle w:val="Nagwek"/>
    </w:pPr>
    <w:r>
      <w:rPr>
        <w:noProof/>
        <w:lang w:val="pl-PL" w:eastAsia="pl-PL"/>
      </w:rPr>
      <w:drawing>
        <wp:anchor distT="0" distB="0" distL="114300" distR="114300" simplePos="0" relativeHeight="251674624" behindDoc="1" locked="0" layoutInCell="1" allowOverlap="1" wp14:anchorId="59FEFBD2" wp14:editId="260F91B0">
          <wp:simplePos x="0" y="0"/>
          <wp:positionH relativeFrom="column">
            <wp:posOffset>-1080770</wp:posOffset>
          </wp:positionH>
          <wp:positionV relativeFrom="paragraph">
            <wp:posOffset>83185</wp:posOffset>
          </wp:positionV>
          <wp:extent cx="791625" cy="1609725"/>
          <wp:effectExtent l="0" t="0" r="8890" b="0"/>
          <wp:wrapNone/>
          <wp:docPr id="193" name="Obraz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4E3289C"/>
    <w:multiLevelType w:val="hybridMultilevel"/>
    <w:tmpl w:val="66509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8B0972"/>
    <w:multiLevelType w:val="hybridMultilevel"/>
    <w:tmpl w:val="BB32075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2" w15:restartNumberingAfterBreak="0">
    <w:nsid w:val="0DC608BD"/>
    <w:multiLevelType w:val="hybridMultilevel"/>
    <w:tmpl w:val="859C53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927CE"/>
    <w:multiLevelType w:val="hybridMultilevel"/>
    <w:tmpl w:val="D4961728"/>
    <w:lvl w:ilvl="0" w:tplc="B2E0C11C">
      <w:start w:val="1"/>
      <w:numFmt w:val="decimal"/>
      <w:lvlText w:val="%1."/>
      <w:lvlJc w:val="left"/>
      <w:pPr>
        <w:ind w:left="720" w:hanging="360"/>
      </w:pPr>
      <w:rPr>
        <w:rFonts w:ascii="Roboto Lt" w:eastAsia="Calibri" w:hAnsi="Roboto Lt" w:cs="Times New Roman"/>
        <w:b w:val="0"/>
        <w:i w:val="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E04314"/>
    <w:multiLevelType w:val="hybridMultilevel"/>
    <w:tmpl w:val="C9FC808A"/>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29100F7D"/>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2F382840"/>
    <w:multiLevelType w:val="hybridMultilevel"/>
    <w:tmpl w:val="A33225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ED3BB7"/>
    <w:multiLevelType w:val="hybridMultilevel"/>
    <w:tmpl w:val="DF36BCA6"/>
    <w:lvl w:ilvl="0" w:tplc="04150017">
      <w:start w:val="1"/>
      <w:numFmt w:val="lowerLetter"/>
      <w:lvlText w:val="%1)"/>
      <w:lvlJc w:val="left"/>
      <w:pPr>
        <w:ind w:left="720" w:hanging="360"/>
      </w:pPr>
      <w:rPr>
        <w:rFonts w:hint="default"/>
      </w:rPr>
    </w:lvl>
    <w:lvl w:ilvl="1" w:tplc="3218275E">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CF705A"/>
    <w:multiLevelType w:val="hybridMultilevel"/>
    <w:tmpl w:val="A33225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490E5A"/>
    <w:multiLevelType w:val="hybridMultilevel"/>
    <w:tmpl w:val="02420902"/>
    <w:lvl w:ilvl="0" w:tplc="66240576">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4E28074E"/>
    <w:multiLevelType w:val="hybridMultilevel"/>
    <w:tmpl w:val="C72A4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DC2437"/>
    <w:multiLevelType w:val="hybridMultilevel"/>
    <w:tmpl w:val="362E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DC188C"/>
    <w:multiLevelType w:val="hybridMultilevel"/>
    <w:tmpl w:val="362EFF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1784823"/>
    <w:multiLevelType w:val="hybridMultilevel"/>
    <w:tmpl w:val="435A5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104B1D"/>
    <w:multiLevelType w:val="hybridMultilevel"/>
    <w:tmpl w:val="859C53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D355C3"/>
    <w:multiLevelType w:val="hybridMultilevel"/>
    <w:tmpl w:val="BB32075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num w:numId="1" w16cid:durableId="499779451">
    <w:abstractNumId w:val="9"/>
  </w:num>
  <w:num w:numId="2" w16cid:durableId="137959952">
    <w:abstractNumId w:val="8"/>
  </w:num>
  <w:num w:numId="3" w16cid:durableId="1778913793">
    <w:abstractNumId w:val="3"/>
  </w:num>
  <w:num w:numId="4" w16cid:durableId="2058235538">
    <w:abstractNumId w:val="2"/>
  </w:num>
  <w:num w:numId="5" w16cid:durableId="1754276188">
    <w:abstractNumId w:val="1"/>
  </w:num>
  <w:num w:numId="6" w16cid:durableId="1059012507">
    <w:abstractNumId w:val="0"/>
  </w:num>
  <w:num w:numId="7" w16cid:durableId="1887639635">
    <w:abstractNumId w:val="7"/>
  </w:num>
  <w:num w:numId="8" w16cid:durableId="1922710900">
    <w:abstractNumId w:val="6"/>
  </w:num>
  <w:num w:numId="9" w16cid:durableId="301354706">
    <w:abstractNumId w:val="5"/>
  </w:num>
  <w:num w:numId="10" w16cid:durableId="1848209035">
    <w:abstractNumId w:val="4"/>
  </w:num>
  <w:num w:numId="11" w16cid:durableId="1809857064">
    <w:abstractNumId w:val="13"/>
  </w:num>
  <w:num w:numId="12" w16cid:durableId="147136025">
    <w:abstractNumId w:val="16"/>
  </w:num>
  <w:num w:numId="13" w16cid:durableId="348726501">
    <w:abstractNumId w:val="21"/>
  </w:num>
  <w:num w:numId="14" w16cid:durableId="910654433">
    <w:abstractNumId w:val="23"/>
  </w:num>
  <w:num w:numId="15" w16cid:durableId="1715697465">
    <w:abstractNumId w:val="10"/>
  </w:num>
  <w:num w:numId="16" w16cid:durableId="786705917">
    <w:abstractNumId w:val="20"/>
  </w:num>
  <w:num w:numId="17" w16cid:durableId="1746342953">
    <w:abstractNumId w:val="25"/>
  </w:num>
  <w:num w:numId="18" w16cid:durableId="1212880571">
    <w:abstractNumId w:val="15"/>
  </w:num>
  <w:num w:numId="19" w16cid:durableId="954408836">
    <w:abstractNumId w:val="14"/>
  </w:num>
  <w:num w:numId="20" w16cid:durableId="971403036">
    <w:abstractNumId w:val="24"/>
  </w:num>
  <w:num w:numId="21" w16cid:durableId="1305087716">
    <w:abstractNumId w:val="17"/>
  </w:num>
  <w:num w:numId="22" w16cid:durableId="102455746">
    <w:abstractNumId w:val="19"/>
  </w:num>
  <w:num w:numId="23" w16cid:durableId="2065981884">
    <w:abstractNumId w:val="18"/>
  </w:num>
  <w:num w:numId="24" w16cid:durableId="1367439860">
    <w:abstractNumId w:val="12"/>
  </w:num>
  <w:num w:numId="25" w16cid:durableId="2014795742">
    <w:abstractNumId w:val="11"/>
  </w:num>
  <w:num w:numId="26" w16cid:durableId="13035797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10287"/>
    <w:rsid w:val="000522C5"/>
    <w:rsid w:val="0006332A"/>
    <w:rsid w:val="000653C6"/>
    <w:rsid w:val="00070438"/>
    <w:rsid w:val="00070B97"/>
    <w:rsid w:val="00077647"/>
    <w:rsid w:val="000857FD"/>
    <w:rsid w:val="00093EA5"/>
    <w:rsid w:val="000A5C11"/>
    <w:rsid w:val="000C68CF"/>
    <w:rsid w:val="000F6118"/>
    <w:rsid w:val="00106A6E"/>
    <w:rsid w:val="00123E93"/>
    <w:rsid w:val="00134895"/>
    <w:rsid w:val="00134929"/>
    <w:rsid w:val="001349C8"/>
    <w:rsid w:val="00153F83"/>
    <w:rsid w:val="00175ECC"/>
    <w:rsid w:val="001A0BD2"/>
    <w:rsid w:val="001A6DBF"/>
    <w:rsid w:val="001D5E5D"/>
    <w:rsid w:val="00202A8A"/>
    <w:rsid w:val="00231524"/>
    <w:rsid w:val="00236EA3"/>
    <w:rsid w:val="00240494"/>
    <w:rsid w:val="00266211"/>
    <w:rsid w:val="002A195C"/>
    <w:rsid w:val="002C77C1"/>
    <w:rsid w:val="002D48BE"/>
    <w:rsid w:val="002F0994"/>
    <w:rsid w:val="002F4540"/>
    <w:rsid w:val="0030456F"/>
    <w:rsid w:val="003045C6"/>
    <w:rsid w:val="0031628E"/>
    <w:rsid w:val="00323A6A"/>
    <w:rsid w:val="0033134B"/>
    <w:rsid w:val="00335F9F"/>
    <w:rsid w:val="00336F05"/>
    <w:rsid w:val="00346C00"/>
    <w:rsid w:val="00354A18"/>
    <w:rsid w:val="003E0144"/>
    <w:rsid w:val="003F4BA3"/>
    <w:rsid w:val="004162C6"/>
    <w:rsid w:val="004727CC"/>
    <w:rsid w:val="00474729"/>
    <w:rsid w:val="004C0F56"/>
    <w:rsid w:val="004F5805"/>
    <w:rsid w:val="004F7319"/>
    <w:rsid w:val="0050721C"/>
    <w:rsid w:val="00520C1A"/>
    <w:rsid w:val="00523E70"/>
    <w:rsid w:val="00524790"/>
    <w:rsid w:val="00526CDD"/>
    <w:rsid w:val="005461FB"/>
    <w:rsid w:val="0058080A"/>
    <w:rsid w:val="005C4300"/>
    <w:rsid w:val="005D01A8"/>
    <w:rsid w:val="005D102F"/>
    <w:rsid w:val="005D1495"/>
    <w:rsid w:val="005D41C0"/>
    <w:rsid w:val="006041E2"/>
    <w:rsid w:val="00613D82"/>
    <w:rsid w:val="006371E6"/>
    <w:rsid w:val="006540E7"/>
    <w:rsid w:val="006747BD"/>
    <w:rsid w:val="0068783C"/>
    <w:rsid w:val="006906D0"/>
    <w:rsid w:val="006919BD"/>
    <w:rsid w:val="006A1599"/>
    <w:rsid w:val="006D6DE5"/>
    <w:rsid w:val="006E5474"/>
    <w:rsid w:val="006E5990"/>
    <w:rsid w:val="006F645A"/>
    <w:rsid w:val="00710A29"/>
    <w:rsid w:val="00713A74"/>
    <w:rsid w:val="00715374"/>
    <w:rsid w:val="007471E3"/>
    <w:rsid w:val="00761D8B"/>
    <w:rsid w:val="00776F76"/>
    <w:rsid w:val="007D510B"/>
    <w:rsid w:val="00800578"/>
    <w:rsid w:val="0080446D"/>
    <w:rsid w:val="00805DF6"/>
    <w:rsid w:val="00814D01"/>
    <w:rsid w:val="00816DC4"/>
    <w:rsid w:val="0082052D"/>
    <w:rsid w:val="00821F16"/>
    <w:rsid w:val="00835B07"/>
    <w:rsid w:val="008368C0"/>
    <w:rsid w:val="0084396A"/>
    <w:rsid w:val="00854B7B"/>
    <w:rsid w:val="00885743"/>
    <w:rsid w:val="0089601B"/>
    <w:rsid w:val="008C1729"/>
    <w:rsid w:val="008C75DD"/>
    <w:rsid w:val="008E0205"/>
    <w:rsid w:val="008E7496"/>
    <w:rsid w:val="008F027B"/>
    <w:rsid w:val="008F209D"/>
    <w:rsid w:val="0090421A"/>
    <w:rsid w:val="00920CFB"/>
    <w:rsid w:val="00943E13"/>
    <w:rsid w:val="00946848"/>
    <w:rsid w:val="009738C3"/>
    <w:rsid w:val="009825B4"/>
    <w:rsid w:val="0099243B"/>
    <w:rsid w:val="009D14F6"/>
    <w:rsid w:val="009D4C4D"/>
    <w:rsid w:val="009D5E9C"/>
    <w:rsid w:val="009D6AD2"/>
    <w:rsid w:val="009F282A"/>
    <w:rsid w:val="009F5EEF"/>
    <w:rsid w:val="00A10B08"/>
    <w:rsid w:val="00A36F46"/>
    <w:rsid w:val="00A44989"/>
    <w:rsid w:val="00A4666C"/>
    <w:rsid w:val="00A52C29"/>
    <w:rsid w:val="00AD23CF"/>
    <w:rsid w:val="00AF2CE6"/>
    <w:rsid w:val="00AF7A5E"/>
    <w:rsid w:val="00AF7D1E"/>
    <w:rsid w:val="00B36E7B"/>
    <w:rsid w:val="00B4089B"/>
    <w:rsid w:val="00B554E2"/>
    <w:rsid w:val="00B61F8A"/>
    <w:rsid w:val="00B62210"/>
    <w:rsid w:val="00B72959"/>
    <w:rsid w:val="00B8339E"/>
    <w:rsid w:val="00B91184"/>
    <w:rsid w:val="00BB7C5E"/>
    <w:rsid w:val="00BC5EC0"/>
    <w:rsid w:val="00BC6AB0"/>
    <w:rsid w:val="00BD2D92"/>
    <w:rsid w:val="00BE0C4D"/>
    <w:rsid w:val="00C22A54"/>
    <w:rsid w:val="00C736D5"/>
    <w:rsid w:val="00C912BE"/>
    <w:rsid w:val="00CD5D40"/>
    <w:rsid w:val="00CE45AB"/>
    <w:rsid w:val="00CE64E4"/>
    <w:rsid w:val="00CF2301"/>
    <w:rsid w:val="00D005B3"/>
    <w:rsid w:val="00D06D36"/>
    <w:rsid w:val="00D2501A"/>
    <w:rsid w:val="00D34C11"/>
    <w:rsid w:val="00D40690"/>
    <w:rsid w:val="00D51CDB"/>
    <w:rsid w:val="00D711D2"/>
    <w:rsid w:val="00D926D2"/>
    <w:rsid w:val="00DA52A1"/>
    <w:rsid w:val="00DC5214"/>
    <w:rsid w:val="00DD4142"/>
    <w:rsid w:val="00E02974"/>
    <w:rsid w:val="00E26C76"/>
    <w:rsid w:val="00E41CFF"/>
    <w:rsid w:val="00E96ED7"/>
    <w:rsid w:val="00EA0A55"/>
    <w:rsid w:val="00EC18B9"/>
    <w:rsid w:val="00EC1CAE"/>
    <w:rsid w:val="00EC32E2"/>
    <w:rsid w:val="00ED7972"/>
    <w:rsid w:val="00EE25E8"/>
    <w:rsid w:val="00EE32C2"/>
    <w:rsid w:val="00EE493C"/>
    <w:rsid w:val="00F03B47"/>
    <w:rsid w:val="00F06973"/>
    <w:rsid w:val="00F14C58"/>
    <w:rsid w:val="00F76CBB"/>
    <w:rsid w:val="00F91F03"/>
    <w:rsid w:val="00F94BD8"/>
    <w:rsid w:val="00FA373A"/>
    <w:rsid w:val="00FB1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7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styleId="Odwoaniedokomentarza">
    <w:name w:val="annotation reference"/>
    <w:uiPriority w:val="99"/>
    <w:semiHidden/>
    <w:unhideWhenUsed/>
    <w:rsid w:val="006E5474"/>
    <w:rPr>
      <w:sz w:val="16"/>
      <w:szCs w:val="16"/>
    </w:rPr>
  </w:style>
  <w:style w:type="paragraph" w:styleId="Tekstkomentarza">
    <w:name w:val="annotation text"/>
    <w:basedOn w:val="Normalny"/>
    <w:link w:val="TekstkomentarzaZnak"/>
    <w:uiPriority w:val="99"/>
    <w:semiHidden/>
    <w:unhideWhenUsed/>
    <w:rsid w:val="006E5474"/>
    <w:pPr>
      <w:spacing w:after="200" w:line="276" w:lineRule="auto"/>
      <w:jc w:val="left"/>
    </w:pPr>
    <w:rPr>
      <w:rFonts w:ascii="Tahoma" w:eastAsia="Calibri" w:hAnsi="Tahoma" w:cs="Times New Roman"/>
      <w:color w:val="808284"/>
      <w:spacing w:val="0"/>
      <w:szCs w:val="20"/>
    </w:rPr>
  </w:style>
  <w:style w:type="character" w:customStyle="1" w:styleId="TekstkomentarzaZnak">
    <w:name w:val="Tekst komentarza Znak"/>
    <w:basedOn w:val="Domylnaczcionkaakapitu"/>
    <w:link w:val="Tekstkomentarza"/>
    <w:uiPriority w:val="99"/>
    <w:semiHidden/>
    <w:rsid w:val="006E5474"/>
    <w:rPr>
      <w:rFonts w:ascii="Tahoma" w:eastAsia="Calibri" w:hAnsi="Tahoma" w:cs="Times New Roman"/>
      <w:color w:val="808284"/>
      <w:sz w:val="20"/>
      <w:szCs w:val="20"/>
    </w:rPr>
  </w:style>
  <w:style w:type="paragraph" w:styleId="Akapitzlist">
    <w:name w:val="List Paragraph"/>
    <w:basedOn w:val="Normalny"/>
    <w:qFormat/>
    <w:rsid w:val="006E5474"/>
    <w:pPr>
      <w:spacing w:after="0" w:line="240" w:lineRule="auto"/>
      <w:ind w:left="720"/>
      <w:contextualSpacing/>
      <w:jc w:val="left"/>
    </w:pPr>
    <w:rPr>
      <w:rFonts w:ascii="Times New Roman" w:eastAsia="Times New Roman" w:hAnsi="Times New Roman" w:cs="Times New Roman"/>
      <w:color w:val="auto"/>
      <w:spacing w:val="0"/>
      <w:sz w:val="24"/>
      <w:szCs w:val="24"/>
      <w:lang w:eastAsia="pl-PL"/>
    </w:rPr>
  </w:style>
  <w:style w:type="paragraph" w:styleId="Tekstpodstawowy">
    <w:name w:val="Body Text"/>
    <w:basedOn w:val="Normalny"/>
    <w:link w:val="TekstpodstawowyZnak"/>
    <w:unhideWhenUsed/>
    <w:rsid w:val="006E5474"/>
    <w:pPr>
      <w:spacing w:after="120" w:line="276" w:lineRule="auto"/>
      <w:jc w:val="left"/>
    </w:pPr>
    <w:rPr>
      <w:rFonts w:ascii="Tahoma" w:eastAsia="Calibri" w:hAnsi="Tahoma" w:cs="Times New Roman"/>
      <w:color w:val="808284"/>
      <w:spacing w:val="0"/>
      <w:sz w:val="22"/>
    </w:rPr>
  </w:style>
  <w:style w:type="character" w:customStyle="1" w:styleId="TekstpodstawowyZnak">
    <w:name w:val="Tekst podstawowy Znak"/>
    <w:basedOn w:val="Domylnaczcionkaakapitu"/>
    <w:link w:val="Tekstpodstawowy"/>
    <w:rsid w:val="006E5474"/>
    <w:rPr>
      <w:rFonts w:ascii="Tahoma" w:eastAsia="Calibri" w:hAnsi="Tahoma" w:cs="Times New Roman"/>
      <w:color w:val="808284"/>
    </w:rPr>
  </w:style>
  <w:style w:type="paragraph" w:styleId="Tekstdymka">
    <w:name w:val="Balloon Text"/>
    <w:basedOn w:val="Normalny"/>
    <w:link w:val="TekstdymkaZnak"/>
    <w:uiPriority w:val="99"/>
    <w:semiHidden/>
    <w:unhideWhenUsed/>
    <w:rsid w:val="006E54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5474"/>
    <w:rPr>
      <w:rFonts w:ascii="Tahoma" w:hAnsi="Tahoma" w:cs="Tahoma"/>
      <w:color w:val="000000" w:themeColor="background1"/>
      <w:spacing w:val="4"/>
      <w:sz w:val="16"/>
      <w:szCs w:val="16"/>
    </w:rPr>
  </w:style>
  <w:style w:type="paragraph" w:styleId="Poprawka">
    <w:name w:val="Revision"/>
    <w:hidden/>
    <w:uiPriority w:val="99"/>
    <w:semiHidden/>
    <w:rsid w:val="0058080A"/>
    <w:pPr>
      <w:spacing w:after="0" w:line="240" w:lineRule="auto"/>
    </w:pPr>
    <w:rPr>
      <w:color w:val="000000" w:themeColor="background1"/>
      <w:spacing w:val="4"/>
      <w:sz w:val="20"/>
    </w:rPr>
  </w:style>
  <w:style w:type="paragraph" w:styleId="Tematkomentarza">
    <w:name w:val="annotation subject"/>
    <w:basedOn w:val="Tekstkomentarza"/>
    <w:next w:val="Tekstkomentarza"/>
    <w:link w:val="TematkomentarzaZnak"/>
    <w:uiPriority w:val="99"/>
    <w:semiHidden/>
    <w:unhideWhenUsed/>
    <w:rsid w:val="0058080A"/>
    <w:pPr>
      <w:spacing w:after="280" w:line="240" w:lineRule="auto"/>
      <w:jc w:val="both"/>
    </w:pPr>
    <w:rPr>
      <w:rFonts w:asciiTheme="minorHAnsi" w:eastAsiaTheme="minorHAnsi" w:hAnsiTheme="minorHAnsi" w:cstheme="minorBidi"/>
      <w:b/>
      <w:bCs/>
      <w:color w:val="000000" w:themeColor="background1"/>
      <w:spacing w:val="4"/>
    </w:rPr>
  </w:style>
  <w:style w:type="character" w:customStyle="1" w:styleId="TematkomentarzaZnak">
    <w:name w:val="Temat komentarza Znak"/>
    <w:basedOn w:val="TekstkomentarzaZnak"/>
    <w:link w:val="Tematkomentarza"/>
    <w:uiPriority w:val="99"/>
    <w:semiHidden/>
    <w:rsid w:val="0058080A"/>
    <w:rPr>
      <w:rFonts w:ascii="Tahoma" w:eastAsia="Calibri" w:hAnsi="Tahoma" w:cs="Times New Roman"/>
      <w:b/>
      <w:bCs/>
      <w:color w:val="000000" w:themeColor="background1"/>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165656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40A75-A663-4B26-9580-6AB72BCB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3776</Words>
  <Characters>22661</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2023-12-07T11:29:00Z</dcterms:created>
  <dcterms:modified xsi:type="dcterms:W3CDTF">2023-12-07T11:49:00Z</dcterms:modified>
  <cp:contentStatus/>
</cp:coreProperties>
</file>