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</w:t>
      </w:r>
      <w:r w:rsidR="009F6319" w:rsidRPr="009F6319">
        <w:rPr>
          <w:rFonts w:ascii="Times New Roman" w:hAnsi="Times New Roman" w:cs="Times New Roman"/>
          <w:b/>
        </w:rPr>
        <w:t>zakup sprzętu medycznego na potrzeby Oddziału Ginekologii zgodnie z Rządowym programem kompleksowej ochrony zdrowia prokreacyjnego w Polsce na lata 2021-2023</w:t>
      </w:r>
      <w:bookmarkStart w:id="0" w:name="_GoBack"/>
      <w:bookmarkEnd w:id="0"/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BC2D07">
        <w:rPr>
          <w:rFonts w:ascii="Times New Roman" w:hAnsi="Times New Roman" w:cs="Times New Roman"/>
          <w:b/>
        </w:rPr>
        <w:t>81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F6319"/>
    <w:rsid w:val="00A62BAF"/>
    <w:rsid w:val="00AA6E20"/>
    <w:rsid w:val="00AC0D85"/>
    <w:rsid w:val="00B16429"/>
    <w:rsid w:val="00B368F6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9</cp:revision>
  <cp:lastPrinted>2022-09-13T08:22:00Z</cp:lastPrinted>
  <dcterms:created xsi:type="dcterms:W3CDTF">2022-09-06T08:05:00Z</dcterms:created>
  <dcterms:modified xsi:type="dcterms:W3CDTF">2023-10-03T06:57:00Z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