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A5" w:rsidRPr="000C45A5" w:rsidRDefault="000C45A5" w:rsidP="000C45A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7441538"/>
      <w:r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0C45A5" w:rsidRPr="000C45A5" w:rsidRDefault="000C45A5" w:rsidP="000C45A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5/</w:t>
      </w:r>
      <w:proofErr w:type="spellStart"/>
      <w:r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0C45A5" w:rsidRPr="000C45A5" w:rsidRDefault="000C45A5" w:rsidP="000C45A5">
      <w:pPr>
        <w:spacing w:after="0"/>
        <w:rPr>
          <w:rFonts w:eastAsia="Calibri" w:cstheme="minorHAnsi"/>
        </w:rPr>
      </w:pPr>
    </w:p>
    <w:p w:rsidR="000C45A5" w:rsidRPr="000C45A5" w:rsidRDefault="000C45A5" w:rsidP="000C45A5">
      <w:pPr>
        <w:suppressAutoHyphens/>
        <w:snapToGrid w:val="0"/>
        <w:spacing w:after="0" w:line="36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45A5">
        <w:rPr>
          <w:rFonts w:eastAsia="Times New Roman" w:cstheme="minorHAnsi"/>
          <w:b/>
          <w:bCs/>
          <w:sz w:val="24"/>
          <w:szCs w:val="24"/>
          <w:lang w:eastAsia="pl-PL"/>
        </w:rPr>
        <w:t>SPECYFIKACJA TECHNICZNA OFEROWANEGO PRZEDMIOTU ZAMÓWIENIA</w:t>
      </w:r>
    </w:p>
    <w:p w:rsidR="000C45A5" w:rsidRPr="000C45A5" w:rsidRDefault="000C45A5" w:rsidP="000C45A5">
      <w:pPr>
        <w:suppressAutoHyphens/>
        <w:snapToGrid w:val="0"/>
        <w:spacing w:after="0" w:line="24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45A5">
        <w:rPr>
          <w:rFonts w:eastAsia="Times New Roman" w:cstheme="minorHAnsi"/>
          <w:b/>
          <w:bCs/>
          <w:sz w:val="24"/>
          <w:szCs w:val="24"/>
          <w:lang w:eastAsia="pl-PL"/>
        </w:rPr>
        <w:t>oferowany model i typ autobusu: ………………………………………………………………………………</w:t>
      </w:r>
    </w:p>
    <w:p w:rsidR="000C45A5" w:rsidRPr="000C45A5" w:rsidRDefault="000C45A5" w:rsidP="000C45A5">
      <w:pPr>
        <w:suppressAutoHyphens/>
        <w:snapToGrid w:val="0"/>
        <w:spacing w:after="0" w:line="24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2051"/>
        <w:gridCol w:w="2803"/>
        <w:gridCol w:w="1887"/>
        <w:gridCol w:w="1791"/>
      </w:tblGrid>
      <w:tr w:rsidR="000C45A5" w:rsidRPr="000C45A5" w:rsidTr="00CC49D7">
        <w:trPr>
          <w:tblHeader/>
        </w:trPr>
        <w:tc>
          <w:tcPr>
            <w:tcW w:w="42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Informacje, jakie należy wpisać w kol. 5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Oferta wykonawcy</w:t>
            </w:r>
          </w:p>
        </w:tc>
      </w:tr>
      <w:tr w:rsidR="000C45A5" w:rsidRPr="000C45A5" w:rsidTr="00CC49D7">
        <w:trPr>
          <w:tblHeader/>
        </w:trPr>
        <w:tc>
          <w:tcPr>
            <w:tcW w:w="42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Silnik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 zapłonie samoczynnym, wysokoprężny, chłodzony cieczą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NIE</w:t>
            </w: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podgrzewania wstępnych filtrów paliwa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wspomagania rozruchu silnika w niskich temperaturach otoczenia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o mocy nie mniejszej niż 300 kW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moc w kW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pojemność skokowa silnika nie mniejsza niż 10 500 cm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pojemność w cm3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możliwość tankowania jedno- lub dwustronnego, tj. wlewy paliwa usytuowane po prawej i po lewej stronie autobusu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„jednostronne”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„dwustronne”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 zbiornika paliwa nie mniejsza niż 450 l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 w litrach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poziom emisji zanieczyszczeń: tlenków azotu, cząstek stałych oraz węglowodorów, zgodny z normą Euro VI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Zbiornik </w:t>
            </w:r>
            <w:proofErr w:type="spellStart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AdBlue</w:t>
            </w:r>
            <w:proofErr w:type="spellEnd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o pojemności nie mniejszej niż 45 l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podać pojemność w litrach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Automatyczny system wykrywania i gaszenia pożaru w komorze silnika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Układ przeniesienia napędu, zawieszenie, układ kierowniczy i jezdny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skrzynia biegów: zautomatyzowana lub automatyczna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„zautomatyzowana”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„automatyczna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nadwozie osadzone na trzech osiach, gdzie oś  środkowa jest osią napędową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oś środkowa wyposażona w ogumienie bliźniacze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jednakowy rozmiar ogumienia wszystkich osi, jedno pełnowymiarowe koło zapasowe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zawieszenie pneumatyczne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kierowniczy wyposażony we wspomaganie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dodatkowy zwalniający układ hamulcowy – hamulec silnikowy (np.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Retarder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Intarder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rozstaw osi: odległość między  osią przednią a osią napędowa: min 6,50 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rPr>
          <w:trHeight w:val="858"/>
        </w:trPr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rozstaw osi: odległość między  osią napędową a osią wleczoną: min 1,25 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Rozmiar opon: min. 295/80 R 22,5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x-none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 xml:space="preserve">Opony bezdętkowe, fabrycznie nowe 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Nadwozie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długość pojazdu: min. 13,80 m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długość w metrach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wysokość pojazdu: min. 3,50 m, max 4,00 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wysokość w metrach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szkielet pojazdu wykonany ze stali nierdzewnej lub ze stali zabezpieczonej poprzez kataforezę </w:t>
            </w: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„stal nierdzewna” 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„stal zabezpieczona poprzez kataforezę”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Szkielet pojazdu wykonany z innych materiałów niż stal nierdzewna lub niezabezpieczony poprzez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katoforezę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, ale odpornych na korozję lub zabezpieczonych przed korozją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liczba miejsc siedzących dla pasażerów – minimum 61/maksimum 65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liczbę miejsc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miejsce dla kierowcy i jedno miejsce dla pilota,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wszystkie miejsca siedzące przodem do kierunku jazdy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dwoje drzwi jednoskrzydłowych otwieranych z miejsca kierowcy, usytuowanych po prawej stronie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fotele pasażerskie turystyczne z dwoma uchwytami, ze zintegrowanym zagłówkiem skóropodobnym lub skórzanym wszytym w obicie, tapicerowane, z tkaniny łatwej do utrzymania w czystości, uchylne, z przesuwem bocznym i podłokietnikiem od strony przejścia, wyposażone w co najmniej dwupunktowe pasy bezpieczeństwa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fotele pasażerskie wyposażone w stolik z otworem na kubek, siatkę oraz regulowany podnóżek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fotel kierowcy podgrzewany, z indywidualnym resorowaniem i amortyzacją pneumatyczną, hydrauliczną lub kombinowaną, z regulowanym oparciem w dwóch płaszczyznach, z dwoma podłokietnikami, z pełną regulacją we wszystkich płaszczyznach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fotel kierowcy obrotowy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składany fotel pilota z łatwym dostępem do systemu audio, z regulacją oparcia i co najmniej jednym podłokietnikiem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wnętrze pojazdu wyposażone w oświetlenie i podsufitowe półki na bagaż podręczny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doświetlenie wejść do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zestaw do komunikowania się kierowcy z przestrzenią pasażerską poprzez mikrofon zintegrowany z fotelem kierowcy, usytuowany z lewej strony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dwie lampki do czytania oraz przycisk przywołania obsługi zintegrowane w module nawiewu nad każdą parą foteli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pojazd wyposażony w zamykane luki bagażowe pod pokładem, dostępne z zewnątrz pojazdu, o sumarycznej pojemności całkowitej nie mniejszej niż 6,5 m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3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całkowitą w m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klapy bagażników otwierane równolegle do linii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centralny zamek bagażników, sterowany oddzielnie dla każdej strony autobusu z miejsca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otwieranie drzwi tylnych przyciskiem usytuowanym na drzwiach przednich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toaleta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kabina sypialna umiejscowiona za przednią osią a  przed drugą osią pojazdu, ogrzewana i wentylowana, wyposażona w interkom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czujnik dymu w luku bagażowym z sygnalizacją u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dwa układy ogrzewania wnętrza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układ ogrzewania zależnego od pracy silnika autobusu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ogrzewania niezależnego od pracy silnika autobusu (ogrzewanie postojowe)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dwie oddzielne strefy klimatyzacji: dla kierowcy i pilota oraz dla pasażerów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układ klimatyzacji wnętrza pojazdu sterowany elektronicznie, wyposażony w indywidualne nawiewy dla każdego fotela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układ klimatyzacji wnętrza pojazdu o maksymalnej mocy chłodniczej nie mniejszej niż 30 kW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maksymalną moc chłodniczą w kW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system multimedialny złożony z radioodbiornika ze złączem USB  z funkcja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bluetooth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 mikrofonu dla pilota i kierowcy, wzmacniacza i systemu głośników oraz 2 monitorów TV LCD o przekątnej minimum 19” każdy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tuner zapewniający odbiór telewizji naziemnej </w:t>
            </w: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 systemie DVBT-2,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przetwornica sinusoidalna prądu z 24 V na 230 V, o mocy ciągłej min. 1800 W, umożliwiająca podłączenie odkurzacza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2 x USB i gniazdo 230V usytuowane przy każdej parze siedzeń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1 x USB i gniazdo 230V dostępne dla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1 x USB i gniazdo 230V dostępne dla pilota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szyba przednia panoramiczna, podgrzewana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szyba przednia bez filtra UV lub z filtrem UV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podać: „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z filtrem UV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 lub „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bez filtra UV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jedno- lub dwuczęściowa roleta przeciwsłoneczna na przedniej szybie sterowana elektrycznie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szyby w części pasażerskiej podwójne, podwójnie przyciemniane poprzez ich zabarwienie w masie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zasłony szyb bocznych i tylnych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boczna szyba kierowcy sterowana elektrycznie i podgrzewana, wyposażona w roletę przeciwsłoneczną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izolacja akustyczno-termiczna wnętrza nadwozia, ściany i sufit wyłożone tapicerką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podświetlane stopnie wejściowe oraz wejścia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lusterka zewnętrzne w kolorze nadwozia, podgrzewane i sterowane elektrycznie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światła mijania ksenonowe lub </w:t>
            </w:r>
            <w:proofErr w:type="spellStart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ledowe</w:t>
            </w:r>
            <w:proofErr w:type="spellEnd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podać: „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światła ksenonowe” 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„światła </w:t>
            </w:r>
            <w:proofErr w:type="spellStart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ledowe</w:t>
            </w:r>
            <w:proofErr w:type="spellEnd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drogowe ksenonowe lub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do jazdy dziennej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obrysowe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światła przeciwmgłowe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Systemy bezpieczeństwa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autobus będzie spełniać warunki dodatkowe dla autobusu o dopuszczalnej prędkości do 100 km/h (tzw. TEMPO 100) zgodne z zapisami § 23 rozporządzenia Ministra Infrastruktury w sprawie warunków technicznych pojazdów oraz zakresu ich niezbędnego wyposażenia (Dz.U. z 2016 r. poz. 2022 z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. zm.)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aktywny tempomat – system automatycznej regulacji prędkości w zależności od sytuacji na drodze, utrzymujący bezpieczny odstęp od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lastRenderedPageBreak/>
              <w:t>poprzedzającego pojazdu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lastRenderedPageBreak/>
              <w:t xml:space="preserve">wpisać: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 aktywnego tempomatu”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 aktywny tempomat”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Belka umocowana pod przednim zderzakiem pojazdu, która ma chronić samochód osobowy przed zaklinowaniem pod autobusem w przypadku zderzenia czołowego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wpisać: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posiada”</w:t>
            </w:r>
          </w:p>
          <w:p w:rsidR="000C45A5" w:rsidRPr="000C45A5" w:rsidDel="00AF4217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Inne cechy funkcjonalne i wyposażenie pojazdu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hamulec roboczy pneumatyczny dwuobwodowy z ABS, system kontroli trakcji, elektroniczny system stabilizacji toru jazdy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czujniki cofania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kamera cofania z podglądem w kabinie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kamera drzwi tylnych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nawigacja satelitarna z wyświetlaczem fabrycznie wbudowanym w deskę rozdzielczą z menu w języku polskim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wyświetlacz wielofunkcyjny umiejscowiony w desce rozdzielczej (konsoli środkowej) po prawej stronie kierowcy lub po środku kierowcy, obsługujący co najmniej:</w:t>
            </w:r>
          </w:p>
          <w:p w:rsidR="000C45A5" w:rsidRPr="000C45A5" w:rsidRDefault="000C45A5" w:rsidP="000C45A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57"/>
              <w:contextualSpacing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eastAsia="Calibri" w:hAnsiTheme="minorHAnsi" w:cstheme="minorHAnsi"/>
                <w:sz w:val="16"/>
                <w:szCs w:val="16"/>
              </w:rPr>
              <w:t>obraz z kamery cofania, oraz</w:t>
            </w:r>
          </w:p>
          <w:p w:rsidR="000C45A5" w:rsidRPr="000C45A5" w:rsidRDefault="000C45A5" w:rsidP="000C45A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5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sz w:val="16"/>
                <w:szCs w:val="16"/>
              </w:rPr>
              <w:t>obraz z kamery drzwi tylnych,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lodówka o pojemności min. 50 l z przodu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jeden pojemnik na śmieci umiejscowiony w obrębie kabiny toalety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sygnał dźwiękowy biegu wstecznego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klakson pneumatyczny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tempomat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immobiliser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tachograf cyfrowy z legalizacją dla dwóch kierowców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kierownica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multifunkcyjna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, obszywana skórą, regulowana co najmniej w dwóch płaszczyznach, ze sterowaniem komputerem pokładowym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menu komputera pokładowego, systemów multimedialnych w języku polskim</w:t>
            </w:r>
          </w:p>
        </w:tc>
        <w:tc>
          <w:tcPr>
            <w:tcW w:w="1945" w:type="dxa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kolor nadwozia metalik w odcieniu szarości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na podłodze korytarza oraz w częściach wejściowych z przodu i z tyłu pojazdu oraz na schodach wykładzina dywanowa łatwa w utrzymaniu czystości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centralny zamek sterowany z kluczyka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szafka obok fotela pilota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dwa schowki zamykane na klucz w przedniej części półek bagażowych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sejf podręczny dla kierowcy w przedniej części pojazdu z dostępem z wnętrza pojazdu, zamykany na klucz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 lukach bagażowych pod pokładem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demontowalne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drążki na mundury w standardowych pokrowcach na odzież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minimum dwa komplety kluczyków/kart do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Wykonawca zapewnia miejsca dla wszystkich elementów wyposażenia pojazdu gwarantujące ich nieprzemieszczanie się podczas jazdy pojazdem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Przystosowanie pojazdu jako uprzywilejowany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Pojazd musi przystosowany jako uprzywilejowany zgodnie z rozporządzeniem Ministra Infrastruktury z dnia 31 grudnia 2002 r. w sprawie warunków technicznych pojazdów oraz zakresu ich niezbędnego wyposażenia (Dz.U. z 2016 r. poz. 2022 z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. zm.), wyposażony w 10 lamp sygnalizacyjnych kierunkowych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ledowych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bezbarwnych ze światłem koloru niebieskiego.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Urządzenia wysyłające ostrzegawcze sygnały dźwiękowe oraz ostrzegawcze sygnały świetlne muszą posiadać homologację.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We wnętrzu pojazdu musi być zamontowany manipulator (z wbudowanym mikrofonem) umożliwiający sterowanie zespolonym urządzeniem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rozgłoszeniowo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-alarmowym, które musi posiadać funkcje: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a. wytwarzania co najmniej 4 rodzajów dźwięków,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b. sterowania sygnalizacją świetlną,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c. sterowania urządzeniem rozgłoszeniowym.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Szczegóły dotyczące rozmieszczenia poszczególnych elementów zostaną uzgodnione na etapie realizacji umowy.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Dodatkowo: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fabryczny zestaw narzędzi przewidzianych do wyposażenia pojazdu,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trójkąt ostrzegawczy,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 xml:space="preserve">apteczka pierwszej pomocy przedmedycznej, 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 xml:space="preserve">gaśnice proszkowe ABC o masie środka gaśniczego min. 6 kg – Ilość </w:t>
            </w: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lastRenderedPageBreak/>
              <w:t>gaśnic zgodnie z obowiązującymi przepisami,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wąż z manometrem, zapewniający możliwość pompowania kół samochodu z własnego zbiornika na sprężone powietrze,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dwa kliny pod koła,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podnośnik hydrauliczny,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kamizelka odblaskowa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sz w:val="16"/>
                <w:szCs w:val="16"/>
              </w:rPr>
              <w:t>klucz umożliwiający odłączenie biegunów akumulatora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lastRenderedPageBreak/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instrukcja obsługi dla kierowców (w języku polskim) minimum 2 szt.,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Gwarancja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Wykonawca udzieli gwarancji ogólnej na wszystkie elementy, które nie podlegają normalnemu zużyciu w czasie eksploatacji, w wymiarze co najmniej 24 miesięcy lub 100.000 km przebiegu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Należy podać okres gwarancji w miesiącach lub w wielkości przebiegu (w km)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</w:tbl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57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6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ar-SA"/>
        </w:rPr>
      </w:pPr>
    </w:p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Cs/>
          <w:lang w:eastAsia="ar-SA"/>
        </w:rPr>
      </w:pPr>
      <w:r w:rsidRPr="000C45A5">
        <w:rPr>
          <w:rFonts w:eastAsia="Times New Roman" w:cstheme="minorHAnsi"/>
          <w:bCs/>
          <w:lang w:eastAsia="ar-SA"/>
        </w:rPr>
        <w:t xml:space="preserve">W przypadku braku wpisu w </w:t>
      </w:r>
      <w:r w:rsidRPr="000C45A5">
        <w:rPr>
          <w:rFonts w:eastAsia="Times New Roman" w:cstheme="minorHAnsi"/>
          <w:b/>
          <w:bCs/>
          <w:lang w:eastAsia="ar-SA"/>
        </w:rPr>
        <w:t>parametrach punktowanych</w:t>
      </w:r>
      <w:r w:rsidRPr="000C45A5">
        <w:rPr>
          <w:rFonts w:eastAsia="Times New Roman" w:cstheme="minorHAnsi"/>
          <w:bCs/>
          <w:lang w:eastAsia="ar-SA"/>
        </w:rPr>
        <w:t xml:space="preserve"> zamawiający przyjmie najniższą dopuszczalną wartość lub parametr i przyzna w tym </w:t>
      </w:r>
      <w:proofErr w:type="spellStart"/>
      <w:r w:rsidRPr="000C45A5">
        <w:rPr>
          <w:rFonts w:eastAsia="Times New Roman" w:cstheme="minorHAnsi"/>
          <w:bCs/>
          <w:lang w:eastAsia="ar-SA"/>
        </w:rPr>
        <w:t>podkryterium</w:t>
      </w:r>
      <w:proofErr w:type="spellEnd"/>
      <w:r w:rsidRPr="000C45A5">
        <w:rPr>
          <w:rFonts w:eastAsia="Times New Roman" w:cstheme="minorHAnsi"/>
          <w:bCs/>
          <w:lang w:eastAsia="ar-SA"/>
        </w:rPr>
        <w:t xml:space="preserve"> 0 punktów.</w:t>
      </w:r>
    </w:p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Cs/>
          <w:lang w:eastAsia="ar-SA"/>
        </w:rPr>
      </w:pPr>
      <w:r w:rsidRPr="000C45A5">
        <w:rPr>
          <w:rFonts w:eastAsia="Times New Roman" w:cstheme="minorHAnsi"/>
          <w:bCs/>
          <w:lang w:eastAsia="ar-SA"/>
        </w:rPr>
        <w:t>Jeżeli w pozycji, w której należy wpisać TAK lub NIE, wykonawca nie wpisze żadnego określenia, zamawiający przyjmie dla danej pozycji określenie TAK.</w:t>
      </w:r>
    </w:p>
    <w:p w:rsidR="000C45A5" w:rsidRPr="000C45A5" w:rsidRDefault="000C45A5" w:rsidP="000C45A5">
      <w:pPr>
        <w:spacing w:after="0"/>
        <w:rPr>
          <w:rFonts w:cstheme="minorHAnsi"/>
        </w:rPr>
      </w:pPr>
      <w:r w:rsidRPr="000C45A5">
        <w:rPr>
          <w:rFonts w:cstheme="minorHAnsi"/>
          <w:b/>
          <w:i/>
          <w:iCs/>
        </w:rPr>
        <w:t xml:space="preserve">UWAGA: </w:t>
      </w:r>
      <w:r w:rsidRPr="000C45A5">
        <w:rPr>
          <w:rFonts w:cstheme="minorHAnsi"/>
          <w:i/>
          <w:iCs/>
        </w:rPr>
        <w:t>Ilekroć w opisie przedmiotu zamówienia wskazuje się normy, zamawiający dopuszcza rozwiązania równoważne opisywanym.</w:t>
      </w:r>
    </w:p>
    <w:p w:rsidR="000C45A5" w:rsidRPr="000C45A5" w:rsidRDefault="000C45A5" w:rsidP="000C45A5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0C45A5" w:rsidRPr="000C45A5" w:rsidRDefault="000C45A5" w:rsidP="000C45A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0C45A5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C45A5" w:rsidRPr="000C45A5" w:rsidRDefault="000C45A5" w:rsidP="000C45A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0C45A5">
        <w:rPr>
          <w:rFonts w:cstheme="minorHAnsi"/>
          <w:sz w:val="18"/>
          <w:szCs w:val="18"/>
        </w:rPr>
        <w:t>[dokument należy wypełnić i opatrzyć</w:t>
      </w:r>
    </w:p>
    <w:p w:rsidR="000C45A5" w:rsidRPr="000C45A5" w:rsidRDefault="000C45A5" w:rsidP="000C45A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0C45A5">
        <w:rPr>
          <w:rFonts w:cstheme="minorHAnsi"/>
          <w:sz w:val="18"/>
          <w:szCs w:val="18"/>
        </w:rPr>
        <w:t>kwalifikowanym podpisem elektronicznym]</w:t>
      </w:r>
    </w:p>
    <w:p w:rsidR="002E445B" w:rsidRPr="000C45A5" w:rsidRDefault="002E445B">
      <w:pPr>
        <w:rPr>
          <w:rFonts w:cstheme="minorHAnsi"/>
        </w:rPr>
      </w:pPr>
      <w:bookmarkStart w:id="1" w:name="_GoBack"/>
      <w:bookmarkEnd w:id="1"/>
    </w:p>
    <w:sectPr w:rsidR="002E445B" w:rsidRPr="000C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604"/>
    <w:multiLevelType w:val="hybridMultilevel"/>
    <w:tmpl w:val="A1466F4E"/>
    <w:lvl w:ilvl="0" w:tplc="8D0EC940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2A26756"/>
    <w:multiLevelType w:val="hybridMultilevel"/>
    <w:tmpl w:val="F27E76F2"/>
    <w:lvl w:ilvl="0" w:tplc="A5D2F1C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A6895"/>
    <w:multiLevelType w:val="hybridMultilevel"/>
    <w:tmpl w:val="663A55A8"/>
    <w:lvl w:ilvl="0" w:tplc="F32095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A5"/>
    <w:rsid w:val="000C45A5"/>
    <w:rsid w:val="002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E922-11B5-424B-AB22-1332044A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45A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0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2023-03-13T07:23:00Z</dcterms:created>
  <dcterms:modified xsi:type="dcterms:W3CDTF">2023-03-13T07:25:00Z</dcterms:modified>
</cp:coreProperties>
</file>