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Zagospodarowanie terenu lasku „Wierzbina” w Cieszynie - Marklowicach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lang w:eastAsia="ar-SA"/>
        </w:rPr>
        <w:t>do 5 kwietnia 2024 r.</w:t>
      </w:r>
      <w:r>
        <w:rPr>
          <w:color w:val="000000"/>
          <w:lang w:eastAsia="ar-SA"/>
        </w:rPr>
        <w:t xml:space="preserve">  rozumianego jako data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lang w:eastAsia="ar-SA"/>
        </w:rPr>
        <w:t xml:space="preserve">36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ZPIF.271.1.</w:t>
    </w:r>
    <w:r>
      <w:rPr>
        <w:rFonts w:eastAsia="Times New Roman" w:cs="Times New Roman"/>
        <w:color w:val="auto"/>
        <w:kern w:val="2"/>
        <w:sz w:val="24"/>
        <w:szCs w:val="20"/>
        <w:lang w:val="pl-PL" w:eastAsia="zh-CN" w:bidi="ar-SA"/>
      </w:rPr>
      <w:t>33</w:t>
    </w:r>
    <w:r>
      <w:rPr/>
      <w:t>.2023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LibreOffice/7.6.2.1$Windows_X86_64 LibreOffice_project/56f7684011345957bbf33a7ee678afaf4d2ba333</Application>
  <AppVersion>15.0000</AppVersion>
  <Pages>4</Pages>
  <Words>872</Words>
  <Characters>5481</Characters>
  <CharactersWithSpaces>6390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2023-11-10T11:03:25Z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