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OŚWIADCZENIE WYKONAWCÓW WSPÓLNIE UBIEGAJĄCYCH SIĘ </w:t>
        <w:br/>
        <w:t>O UDZIELENIE ZAMÓWIENIA</w:t>
      </w:r>
    </w:p>
    <w:p>
      <w:pPr>
        <w:pStyle w:val="Normal"/>
        <w:spacing w:lineRule="atLeast" w:line="200" w:before="0" w:after="0"/>
        <w:ind w:right="-92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ZAMAWIAJĄCY: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 xml:space="preserve">Plac Niepodległości 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i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wszystkie informacje podane w niniejszym oświadczeniu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* Należy wypełnić tylko w sytuacji, gdy zachodzą okoliczności, o których mowa w art. 117 ust. 3 ustawy, tyle razy ile to konieczne</w:t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64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9000" rIns="9000" tIns="9000" bIns="90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15pt;height:12.9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7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BR.271.2.6.2024</w:t>
    </w:r>
  </w:p>
  <w:p>
    <w:pPr>
      <w:pStyle w:val="NormalWeb"/>
      <w:suppressAutoHyphens w:val="true"/>
      <w:spacing w:before="0" w:after="0"/>
      <w:ind w:hanging="0" w:left="0" w:right="0"/>
      <w:jc w:val="both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Utworzenie lokali mieszkalnych na wynajem o ograniczonym czynszu w podziale na 4 części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LibreOffice/7.6.2.1$Windows_X86_64 LibreOffice_project/56f7684011345957bbf33a7ee678afaf4d2ba333</Application>
  <AppVersion>15.0000</AppVersion>
  <Pages>1</Pages>
  <Words>124</Words>
  <Characters>1442</Characters>
  <CharactersWithSpaces>1554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2021-09-09T15:06:00Z</dcterms:created>
  <dc:creator>Barbara Stelmach</dc:creator>
  <dc:description/>
  <dc:language>pl-PL</dc:language>
  <cp:lastModifiedBy/>
  <cp:lastPrinted>1995-11-21T17:41:00Z</cp:lastPrinted>
  <dcterms:modified xsi:type="dcterms:W3CDTF">2024-04-29T14:57:00Z</dcterms:modified>
  <cp:revision>24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