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2512" w14:textId="77777777" w:rsidR="000C3222" w:rsidRDefault="000C3222">
      <w:pPr>
        <w:pStyle w:val="Standard"/>
        <w:jc w:val="right"/>
        <w:rPr>
          <w:i/>
          <w:sz w:val="20"/>
          <w:szCs w:val="20"/>
        </w:rPr>
      </w:pPr>
    </w:p>
    <w:p w14:paraId="5475052B" w14:textId="345FB0D5" w:rsidR="000C3222" w:rsidRDefault="009D6A6A">
      <w:pPr>
        <w:pStyle w:val="Standard"/>
        <w:jc w:val="right"/>
        <w:rPr>
          <w:i/>
          <w:sz w:val="20"/>
          <w:szCs w:val="20"/>
        </w:rPr>
      </w:pPr>
      <w:r>
        <w:rPr>
          <w:i/>
          <w:sz w:val="20"/>
          <w:szCs w:val="20"/>
        </w:rPr>
        <w:t xml:space="preserve">Załącznik nr </w:t>
      </w:r>
      <w:r w:rsidR="004163BC">
        <w:rPr>
          <w:i/>
          <w:sz w:val="20"/>
          <w:szCs w:val="20"/>
        </w:rPr>
        <w:t>1</w:t>
      </w:r>
      <w:r w:rsidR="009E08FF">
        <w:rPr>
          <w:i/>
          <w:sz w:val="20"/>
          <w:szCs w:val="20"/>
        </w:rPr>
        <w:t xml:space="preserve"> do</w:t>
      </w:r>
      <w:r>
        <w:rPr>
          <w:i/>
          <w:sz w:val="20"/>
          <w:szCs w:val="20"/>
        </w:rPr>
        <w:t xml:space="preserve"> </w:t>
      </w:r>
      <w:r w:rsidR="00193342">
        <w:rPr>
          <w:i/>
          <w:sz w:val="20"/>
          <w:szCs w:val="20"/>
        </w:rPr>
        <w:t>zaproszenie do złożenia oferty cenowej</w:t>
      </w:r>
      <w:r w:rsidR="009E08FF">
        <w:rPr>
          <w:i/>
          <w:sz w:val="20"/>
          <w:szCs w:val="20"/>
        </w:rPr>
        <w:t xml:space="preserve"> </w:t>
      </w:r>
      <w:r>
        <w:rPr>
          <w:i/>
          <w:sz w:val="20"/>
          <w:szCs w:val="20"/>
        </w:rPr>
        <w:t>/ nr</w:t>
      </w:r>
      <w:r w:rsidR="009E08FF">
        <w:rPr>
          <w:i/>
          <w:sz w:val="20"/>
          <w:szCs w:val="20"/>
        </w:rPr>
        <w:t xml:space="preserve"> 1</w:t>
      </w:r>
      <w:r>
        <w:rPr>
          <w:i/>
          <w:sz w:val="20"/>
          <w:szCs w:val="20"/>
        </w:rPr>
        <w:t xml:space="preserve"> </w:t>
      </w:r>
      <w:r w:rsidR="005146D2">
        <w:rPr>
          <w:i/>
          <w:sz w:val="20"/>
          <w:szCs w:val="20"/>
        </w:rPr>
        <w:t>do umowy</w:t>
      </w:r>
    </w:p>
    <w:p w14:paraId="28543676" w14:textId="77777777" w:rsidR="000C3222" w:rsidRDefault="000C3222">
      <w:pPr>
        <w:pStyle w:val="Standard"/>
        <w:jc w:val="center"/>
        <w:rPr>
          <w:b/>
        </w:rPr>
      </w:pPr>
    </w:p>
    <w:p w14:paraId="41BA1FAA" w14:textId="77777777" w:rsidR="000C3222" w:rsidRDefault="000C3222">
      <w:pPr>
        <w:pStyle w:val="Standard"/>
        <w:jc w:val="right"/>
        <w:rPr>
          <w:i/>
          <w:sz w:val="20"/>
          <w:szCs w:val="20"/>
        </w:rPr>
      </w:pPr>
    </w:p>
    <w:p w14:paraId="1C5D8B96" w14:textId="77777777" w:rsidR="000C3222" w:rsidRDefault="005146D2">
      <w:pPr>
        <w:pStyle w:val="Standard"/>
      </w:pPr>
      <w:r>
        <w:t xml:space="preserve"> </w:t>
      </w:r>
    </w:p>
    <w:p w14:paraId="4BC0B044" w14:textId="77777777" w:rsidR="000C3222" w:rsidRDefault="000C3222">
      <w:pPr>
        <w:pStyle w:val="Standard"/>
        <w:jc w:val="center"/>
        <w:rPr>
          <w:b/>
          <w:sz w:val="36"/>
          <w:szCs w:val="36"/>
        </w:rPr>
      </w:pPr>
    </w:p>
    <w:p w14:paraId="3A36F213" w14:textId="77777777" w:rsidR="000C3222" w:rsidRDefault="000C3222">
      <w:pPr>
        <w:pStyle w:val="Standard"/>
        <w:jc w:val="center"/>
        <w:rPr>
          <w:b/>
          <w:sz w:val="36"/>
          <w:szCs w:val="36"/>
        </w:rPr>
      </w:pPr>
    </w:p>
    <w:p w14:paraId="68F1A6C8" w14:textId="77777777" w:rsidR="000C3222" w:rsidRDefault="005146D2">
      <w:pPr>
        <w:pStyle w:val="Standard"/>
        <w:jc w:val="center"/>
        <w:rPr>
          <w:b/>
          <w:sz w:val="36"/>
          <w:szCs w:val="36"/>
        </w:rPr>
      </w:pPr>
      <w:r>
        <w:rPr>
          <w:b/>
          <w:sz w:val="36"/>
          <w:szCs w:val="36"/>
        </w:rPr>
        <w:t xml:space="preserve"> </w:t>
      </w:r>
    </w:p>
    <w:p w14:paraId="1998255E" w14:textId="2FBA7A9A" w:rsidR="000C3222" w:rsidRDefault="000C3222" w:rsidP="00BB4DEA">
      <w:pPr>
        <w:pStyle w:val="Standard"/>
        <w:rPr>
          <w:b/>
          <w:sz w:val="36"/>
          <w:szCs w:val="36"/>
        </w:rPr>
      </w:pPr>
    </w:p>
    <w:p w14:paraId="7CDE5166" w14:textId="77777777" w:rsidR="000C3222" w:rsidRDefault="005146D2">
      <w:pPr>
        <w:pStyle w:val="Standard"/>
        <w:jc w:val="center"/>
        <w:rPr>
          <w:b/>
          <w:sz w:val="36"/>
          <w:szCs w:val="36"/>
        </w:rPr>
      </w:pPr>
      <w:r>
        <w:rPr>
          <w:b/>
          <w:sz w:val="36"/>
          <w:szCs w:val="36"/>
        </w:rPr>
        <w:t xml:space="preserve"> </w:t>
      </w:r>
    </w:p>
    <w:p w14:paraId="77E5B67B" w14:textId="77777777" w:rsidR="000C3222" w:rsidRPr="00BB4DEA" w:rsidRDefault="005146D2">
      <w:pPr>
        <w:pStyle w:val="Standard"/>
        <w:jc w:val="center"/>
        <w:rPr>
          <w:b/>
          <w:sz w:val="40"/>
          <w:szCs w:val="40"/>
        </w:rPr>
      </w:pPr>
      <w:r w:rsidRPr="00BB4DEA">
        <w:rPr>
          <w:b/>
          <w:sz w:val="40"/>
          <w:szCs w:val="40"/>
        </w:rPr>
        <w:t xml:space="preserve">OPIS  TECHNICZNY  </w:t>
      </w:r>
    </w:p>
    <w:p w14:paraId="42967369" w14:textId="77777777" w:rsidR="000C3222" w:rsidRPr="00BB4DEA" w:rsidRDefault="000C3222">
      <w:pPr>
        <w:pStyle w:val="Standard"/>
        <w:jc w:val="center"/>
        <w:rPr>
          <w:b/>
          <w:sz w:val="40"/>
          <w:szCs w:val="40"/>
        </w:rPr>
      </w:pPr>
    </w:p>
    <w:p w14:paraId="20D65E2F" w14:textId="77777777" w:rsidR="000C3222" w:rsidRPr="00BB4DEA" w:rsidRDefault="005146D2">
      <w:pPr>
        <w:pStyle w:val="Standard"/>
        <w:jc w:val="center"/>
        <w:rPr>
          <w:b/>
          <w:sz w:val="40"/>
          <w:szCs w:val="40"/>
        </w:rPr>
      </w:pPr>
      <w:r w:rsidRPr="00BB4DEA">
        <w:rPr>
          <w:b/>
          <w:sz w:val="40"/>
          <w:szCs w:val="40"/>
        </w:rPr>
        <w:t>PRZEDMIOTU  ZAMÓWIENIA</w:t>
      </w:r>
    </w:p>
    <w:p w14:paraId="5AE7FF26" w14:textId="77777777" w:rsidR="000C3222" w:rsidRPr="00BB4DEA" w:rsidRDefault="000C3222">
      <w:pPr>
        <w:pStyle w:val="Standard"/>
        <w:rPr>
          <w:b/>
          <w:sz w:val="40"/>
          <w:szCs w:val="40"/>
        </w:rPr>
      </w:pPr>
    </w:p>
    <w:p w14:paraId="113438FD" w14:textId="6FF8AC4D" w:rsidR="000C3222" w:rsidRPr="00BB4DEA" w:rsidRDefault="005146D2">
      <w:pPr>
        <w:pStyle w:val="Textbody"/>
        <w:spacing w:after="0"/>
        <w:jc w:val="center"/>
        <w:rPr>
          <w:b/>
          <w:bCs/>
          <w:sz w:val="40"/>
          <w:szCs w:val="40"/>
        </w:rPr>
      </w:pPr>
      <w:r w:rsidRPr="00BB4DEA">
        <w:rPr>
          <w:b/>
          <w:bCs/>
          <w:sz w:val="40"/>
          <w:szCs w:val="40"/>
        </w:rPr>
        <w:t xml:space="preserve">Wymagania dla </w:t>
      </w:r>
      <w:r w:rsidR="00BB4DEA" w:rsidRPr="00BB4DEA">
        <w:rPr>
          <w:b/>
          <w:bCs/>
          <w:sz w:val="40"/>
          <w:szCs w:val="40"/>
        </w:rPr>
        <w:t xml:space="preserve">lekkiego </w:t>
      </w:r>
      <w:r w:rsidRPr="00BB4DEA">
        <w:rPr>
          <w:b/>
          <w:bCs/>
          <w:sz w:val="40"/>
          <w:szCs w:val="40"/>
        </w:rPr>
        <w:t xml:space="preserve">samochodu </w:t>
      </w:r>
      <w:r w:rsidR="009D6A6A" w:rsidRPr="00BB4DEA">
        <w:rPr>
          <w:b/>
          <w:bCs/>
          <w:color w:val="000000" w:themeColor="text1"/>
          <w:sz w:val="40"/>
          <w:szCs w:val="40"/>
        </w:rPr>
        <w:t xml:space="preserve">operacyjnego </w:t>
      </w:r>
      <w:r w:rsidR="00251C3D" w:rsidRPr="00BB4DEA">
        <w:rPr>
          <w:b/>
          <w:bCs/>
          <w:color w:val="000000" w:themeColor="text1"/>
          <w:sz w:val="40"/>
          <w:szCs w:val="40"/>
        </w:rPr>
        <w:t>–</w:t>
      </w:r>
      <w:r w:rsidR="009D6A6A" w:rsidRPr="00BB4DEA">
        <w:rPr>
          <w:b/>
          <w:bCs/>
          <w:color w:val="000000" w:themeColor="text1"/>
          <w:sz w:val="40"/>
          <w:szCs w:val="40"/>
        </w:rPr>
        <w:t xml:space="preserve"> </w:t>
      </w:r>
      <w:r w:rsidR="00251C3D" w:rsidRPr="00BB4DEA">
        <w:rPr>
          <w:b/>
          <w:bCs/>
          <w:color w:val="000000" w:themeColor="text1"/>
          <w:sz w:val="40"/>
          <w:szCs w:val="40"/>
        </w:rPr>
        <w:t>1 szt.</w:t>
      </w:r>
    </w:p>
    <w:p w14:paraId="1B7AEFC5" w14:textId="77777777" w:rsidR="000C3222" w:rsidRDefault="000C3222">
      <w:pPr>
        <w:pStyle w:val="Textbody"/>
        <w:spacing w:after="0"/>
        <w:jc w:val="center"/>
      </w:pPr>
    </w:p>
    <w:p w14:paraId="564D1256" w14:textId="77777777" w:rsidR="000C3222" w:rsidRDefault="000C3222">
      <w:pPr>
        <w:pStyle w:val="Textbody"/>
        <w:spacing w:after="0"/>
        <w:jc w:val="center"/>
      </w:pPr>
    </w:p>
    <w:p w14:paraId="65C548CD" w14:textId="77777777" w:rsidR="000C3222" w:rsidRDefault="000C3222">
      <w:pPr>
        <w:pStyle w:val="Standard"/>
        <w:jc w:val="center"/>
        <w:rPr>
          <w:b/>
        </w:rPr>
      </w:pPr>
    </w:p>
    <w:p w14:paraId="5C86DF53" w14:textId="77777777" w:rsidR="000C3222" w:rsidRDefault="000C3222">
      <w:pPr>
        <w:pStyle w:val="Standard"/>
        <w:rPr>
          <w:b/>
        </w:rPr>
      </w:pPr>
    </w:p>
    <w:p w14:paraId="3D3260D9" w14:textId="77777777" w:rsidR="000C3222" w:rsidRDefault="000C3222">
      <w:pPr>
        <w:pStyle w:val="Standard"/>
        <w:jc w:val="center"/>
        <w:rPr>
          <w:b/>
        </w:rPr>
      </w:pPr>
    </w:p>
    <w:p w14:paraId="50BA3BAC" w14:textId="77777777" w:rsidR="000C3222" w:rsidRDefault="000C3222">
      <w:pPr>
        <w:pStyle w:val="Standard"/>
        <w:jc w:val="center"/>
        <w:rPr>
          <w:b/>
        </w:rPr>
      </w:pPr>
    </w:p>
    <w:p w14:paraId="13902355" w14:textId="77777777" w:rsidR="000C3222" w:rsidRDefault="000C3222">
      <w:pPr>
        <w:pStyle w:val="Standard"/>
        <w:jc w:val="center"/>
        <w:rPr>
          <w:b/>
        </w:rPr>
      </w:pPr>
    </w:p>
    <w:p w14:paraId="39F7065C" w14:textId="77777777" w:rsidR="000C3222" w:rsidRDefault="000C3222">
      <w:pPr>
        <w:pStyle w:val="Standard"/>
        <w:jc w:val="center"/>
        <w:rPr>
          <w:b/>
          <w:sz w:val="36"/>
          <w:szCs w:val="36"/>
        </w:rPr>
      </w:pPr>
    </w:p>
    <w:p w14:paraId="1D9DA363" w14:textId="77777777" w:rsidR="00572CCC" w:rsidRDefault="00572CCC">
      <w:pPr>
        <w:pStyle w:val="Standard"/>
        <w:jc w:val="center"/>
        <w:rPr>
          <w:b/>
        </w:rPr>
      </w:pPr>
    </w:p>
    <w:p w14:paraId="54BBD5FB" w14:textId="77777777" w:rsidR="000C3222" w:rsidRDefault="000C3222">
      <w:pPr>
        <w:pStyle w:val="Standard"/>
        <w:jc w:val="center"/>
        <w:rPr>
          <w:b/>
        </w:rPr>
      </w:pPr>
    </w:p>
    <w:p w14:paraId="450CE0DD" w14:textId="77777777" w:rsidR="000C3222" w:rsidRDefault="000C3222">
      <w:pPr>
        <w:pStyle w:val="Standard"/>
        <w:jc w:val="center"/>
        <w:rPr>
          <w:b/>
        </w:rPr>
      </w:pPr>
    </w:p>
    <w:p w14:paraId="1A1B6098" w14:textId="77777777" w:rsidR="000C3222" w:rsidRDefault="000C3222">
      <w:pPr>
        <w:pStyle w:val="Standard"/>
        <w:jc w:val="center"/>
        <w:rPr>
          <w:b/>
        </w:rPr>
      </w:pPr>
    </w:p>
    <w:p w14:paraId="275566AF" w14:textId="77777777" w:rsidR="000C3222" w:rsidRDefault="000C3222">
      <w:pPr>
        <w:pStyle w:val="Standard"/>
        <w:jc w:val="center"/>
        <w:rPr>
          <w:b/>
        </w:rPr>
      </w:pPr>
    </w:p>
    <w:p w14:paraId="12511BA6" w14:textId="77777777" w:rsidR="000C3222" w:rsidRDefault="000C3222">
      <w:pPr>
        <w:pStyle w:val="Standard"/>
        <w:jc w:val="center"/>
        <w:rPr>
          <w:b/>
        </w:rPr>
      </w:pPr>
    </w:p>
    <w:p w14:paraId="721B3184" w14:textId="77777777" w:rsidR="000C3222" w:rsidRDefault="000C3222" w:rsidP="00BB4DEA">
      <w:pPr>
        <w:pStyle w:val="Standard"/>
        <w:rPr>
          <w:b/>
        </w:rPr>
      </w:pPr>
    </w:p>
    <w:p w14:paraId="0CE174E7" w14:textId="77777777" w:rsidR="000C3222" w:rsidRPr="00193342" w:rsidRDefault="000C3222">
      <w:pPr>
        <w:pStyle w:val="Standard"/>
      </w:pPr>
    </w:p>
    <w:p w14:paraId="404E7C36" w14:textId="6510DB1B" w:rsidR="000C3222" w:rsidRPr="00193342" w:rsidRDefault="005146D2">
      <w:pPr>
        <w:pStyle w:val="Standard"/>
        <w:jc w:val="center"/>
      </w:pPr>
      <w:r w:rsidRPr="00193342">
        <w:rPr>
          <w:rFonts w:ascii="Arial" w:hAnsi="Arial" w:cs="Arial"/>
          <w:b/>
          <w:spacing w:val="2"/>
          <w:position w:val="2"/>
        </w:rPr>
        <w:t>Wymagania</w:t>
      </w:r>
      <w:r w:rsidRPr="00193342">
        <w:rPr>
          <w:rFonts w:ascii="Arial" w:eastAsia="Arial" w:hAnsi="Arial" w:cs="Arial"/>
          <w:b/>
          <w:spacing w:val="2"/>
          <w:position w:val="2"/>
        </w:rPr>
        <w:t xml:space="preserve"> </w:t>
      </w:r>
      <w:r w:rsidRPr="00193342">
        <w:rPr>
          <w:rFonts w:ascii="Arial" w:hAnsi="Arial" w:cs="Arial"/>
          <w:b/>
          <w:spacing w:val="2"/>
          <w:position w:val="2"/>
        </w:rPr>
        <w:t>techniczne</w:t>
      </w:r>
      <w:r w:rsidRPr="00193342">
        <w:rPr>
          <w:rFonts w:ascii="Arial" w:eastAsia="Arial" w:hAnsi="Arial" w:cs="Arial"/>
          <w:b/>
          <w:spacing w:val="2"/>
          <w:position w:val="2"/>
        </w:rPr>
        <w:t xml:space="preserve"> </w:t>
      </w:r>
      <w:r w:rsidRPr="00193342">
        <w:rPr>
          <w:rFonts w:ascii="Arial" w:hAnsi="Arial" w:cs="Arial"/>
          <w:b/>
          <w:spacing w:val="2"/>
          <w:position w:val="2"/>
        </w:rPr>
        <w:t>dla</w:t>
      </w:r>
      <w:r w:rsidRPr="00193342">
        <w:rPr>
          <w:rFonts w:ascii="Arial" w:eastAsia="Arial" w:hAnsi="Arial" w:cs="Arial"/>
          <w:b/>
          <w:spacing w:val="2"/>
          <w:position w:val="2"/>
        </w:rPr>
        <w:t xml:space="preserve"> </w:t>
      </w:r>
      <w:r w:rsidRPr="00193342">
        <w:rPr>
          <w:rFonts w:ascii="Arial" w:hAnsi="Arial" w:cs="Arial"/>
          <w:b/>
          <w:spacing w:val="2"/>
          <w:position w:val="2"/>
        </w:rPr>
        <w:t>fabrycznie</w:t>
      </w:r>
      <w:r w:rsidRPr="00193342">
        <w:rPr>
          <w:rFonts w:ascii="Arial" w:eastAsia="Arial" w:hAnsi="Arial" w:cs="Arial"/>
          <w:b/>
          <w:spacing w:val="2"/>
          <w:position w:val="2"/>
        </w:rPr>
        <w:t xml:space="preserve"> </w:t>
      </w:r>
      <w:r w:rsidRPr="00193342">
        <w:rPr>
          <w:rFonts w:ascii="Arial" w:hAnsi="Arial" w:cs="Arial"/>
          <w:b/>
          <w:spacing w:val="2"/>
          <w:position w:val="2"/>
        </w:rPr>
        <w:t xml:space="preserve">nowego </w:t>
      </w:r>
      <w:r w:rsidR="00BB4DEA" w:rsidRPr="00193342">
        <w:rPr>
          <w:rFonts w:ascii="Arial" w:hAnsi="Arial" w:cs="Arial"/>
          <w:b/>
          <w:spacing w:val="2"/>
          <w:position w:val="2"/>
        </w:rPr>
        <w:t xml:space="preserve">lekkiego </w:t>
      </w:r>
      <w:r w:rsidRPr="00193342">
        <w:rPr>
          <w:rFonts w:ascii="Arial" w:hAnsi="Arial" w:cs="Arial"/>
          <w:b/>
          <w:spacing w:val="2"/>
          <w:position w:val="2"/>
        </w:rPr>
        <w:t xml:space="preserve">samochodu </w:t>
      </w:r>
      <w:r w:rsidR="009D6A6A" w:rsidRPr="00193342">
        <w:rPr>
          <w:rFonts w:ascii="Arial" w:eastAsia="Arial" w:hAnsi="Arial" w:cs="Arial"/>
          <w:b/>
          <w:bCs/>
          <w:color w:val="000000" w:themeColor="text1"/>
          <w:spacing w:val="2"/>
          <w:position w:val="2"/>
        </w:rPr>
        <w:t xml:space="preserve">operacyjnego – </w:t>
      </w:r>
      <w:r w:rsidR="00251C3D" w:rsidRPr="00193342">
        <w:rPr>
          <w:rFonts w:ascii="Arial" w:eastAsia="Arial" w:hAnsi="Arial" w:cs="Arial"/>
          <w:b/>
          <w:bCs/>
          <w:color w:val="000000" w:themeColor="text1"/>
          <w:spacing w:val="2"/>
          <w:position w:val="2"/>
        </w:rPr>
        <w:t>1</w:t>
      </w:r>
      <w:r w:rsidRPr="00193342">
        <w:rPr>
          <w:rFonts w:ascii="Arial" w:eastAsia="Arial" w:hAnsi="Arial" w:cs="Arial"/>
          <w:b/>
          <w:bCs/>
          <w:color w:val="000000" w:themeColor="text1"/>
          <w:spacing w:val="2"/>
          <w:position w:val="2"/>
        </w:rPr>
        <w:t xml:space="preserve"> szt</w:t>
      </w:r>
      <w:r w:rsidRPr="00193342">
        <w:rPr>
          <w:rFonts w:ascii="Arial" w:hAnsi="Arial" w:cs="Arial"/>
          <w:b/>
          <w:bCs/>
          <w:color w:val="000000" w:themeColor="text1"/>
          <w:spacing w:val="2"/>
          <w:position w:val="2"/>
        </w:rPr>
        <w:t>.</w:t>
      </w:r>
    </w:p>
    <w:p w14:paraId="0DCBF107" w14:textId="77777777" w:rsidR="000C3222" w:rsidRDefault="000C3222">
      <w:pPr>
        <w:pStyle w:val="Standard"/>
        <w:tabs>
          <w:tab w:val="left" w:pos="284"/>
        </w:tabs>
        <w:spacing w:after="60"/>
        <w:ind w:right="-570"/>
        <w:jc w:val="center"/>
      </w:pPr>
    </w:p>
    <w:tbl>
      <w:tblPr>
        <w:tblW w:w="15021"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4175"/>
      </w:tblGrid>
      <w:tr w:rsidR="00BB4DEA" w14:paraId="231D6E21" w14:textId="77777777" w:rsidTr="00BB4DEA">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63EA57BC" w14:textId="77777777" w:rsidR="00BB4DEA" w:rsidRDefault="00BB4DEA">
            <w:pPr>
              <w:pStyle w:val="Standard"/>
              <w:snapToGrid w:val="0"/>
              <w:jc w:val="center"/>
              <w:rPr>
                <w:b/>
                <w:bCs/>
              </w:rPr>
            </w:pPr>
            <w:r>
              <w:rPr>
                <w:b/>
                <w:bCs/>
              </w:rPr>
              <w:t>Lp.</w:t>
            </w: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3034AF00" w14:textId="77777777" w:rsidR="00BB4DEA" w:rsidRDefault="00BB4DEA">
            <w:pPr>
              <w:pStyle w:val="Standard"/>
              <w:snapToGrid w:val="0"/>
              <w:jc w:val="center"/>
            </w:pPr>
            <w:r>
              <w:rPr>
                <w:b/>
                <w:bCs/>
              </w:rPr>
              <w:t>Warunki Zamawiającego</w:t>
            </w:r>
          </w:p>
        </w:tc>
      </w:tr>
      <w:tr w:rsidR="00BB4DEA" w14:paraId="37A9B1B8" w14:textId="77777777" w:rsidTr="00BB4DEA">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3B16AEF2" w14:textId="77777777" w:rsidR="00BB4DEA" w:rsidRDefault="00BB4DEA">
            <w:pPr>
              <w:pStyle w:val="Standard"/>
              <w:snapToGrid w:val="0"/>
              <w:jc w:val="center"/>
            </w:pPr>
            <w:r>
              <w:t>1</w:t>
            </w:r>
          </w:p>
        </w:tc>
        <w:tc>
          <w:tcPr>
            <w:tcW w:w="14175" w:type="dxa"/>
            <w:tcBorders>
              <w:top w:val="single" w:sz="4" w:space="0" w:color="000001"/>
              <w:left w:val="single" w:sz="4" w:space="0" w:color="000001"/>
              <w:bottom w:val="single" w:sz="4" w:space="0" w:color="000001"/>
              <w:right w:val="single" w:sz="4" w:space="0" w:color="auto"/>
            </w:tcBorders>
            <w:shd w:val="clear" w:color="auto" w:fill="CCCCCC"/>
            <w:tcMar>
              <w:left w:w="98" w:type="dxa"/>
            </w:tcMar>
            <w:vAlign w:val="center"/>
          </w:tcPr>
          <w:p w14:paraId="70425446" w14:textId="77777777" w:rsidR="00BB4DEA" w:rsidRPr="004561CF" w:rsidRDefault="00BB4DEA">
            <w:pPr>
              <w:pStyle w:val="Standard"/>
              <w:snapToGrid w:val="0"/>
              <w:jc w:val="center"/>
              <w:rPr>
                <w:b/>
                <w:bCs/>
              </w:rPr>
            </w:pPr>
            <w:r w:rsidRPr="004561CF">
              <w:rPr>
                <w:b/>
                <w:bCs/>
              </w:rPr>
              <w:t>Wymagania dla pojazdu</w:t>
            </w:r>
          </w:p>
        </w:tc>
      </w:tr>
      <w:tr w:rsidR="00BB4DEA" w14:paraId="39D11E8B"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413B7AA"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379A3BE" w14:textId="77777777" w:rsidR="00BB4DEA" w:rsidRPr="007B5AD1" w:rsidRDefault="00BB4DEA" w:rsidP="004561CF">
            <w:pPr>
              <w:pStyle w:val="Standard"/>
              <w:snapToGrid w:val="0"/>
              <w:jc w:val="both"/>
              <w:rPr>
                <w:color w:val="000000" w:themeColor="text1"/>
              </w:rPr>
            </w:pPr>
            <w:r w:rsidRPr="007B5AD1">
              <w:rPr>
                <w:color w:val="000000" w:themeColor="text1"/>
              </w:rPr>
              <w:t xml:space="preserve">Samochód musi spełniać wszystkie wymagania polskich przepisów o ruchu drogowym z uwzględnieniem wymagań dotyczących pojazdów uprzywilejowanych zgodnie z ustawą „Prawo o ruchu drogowym” z dnia </w:t>
            </w:r>
            <w:hyperlink r:id="rId8">
              <w:r w:rsidRPr="007B5AD1">
                <w:rPr>
                  <w:rStyle w:val="czeinternetowe"/>
                  <w:color w:val="000000" w:themeColor="text1"/>
                </w:rPr>
                <w:t>20</w:t>
              </w:r>
            </w:hyperlink>
            <w:hyperlink r:id="rId9">
              <w:r w:rsidRPr="007B5AD1">
                <w:rPr>
                  <w:rStyle w:val="czeinternetowe"/>
                  <w:color w:val="000000" w:themeColor="text1"/>
                </w:rPr>
                <w:t xml:space="preserve"> </w:t>
              </w:r>
            </w:hyperlink>
            <w:hyperlink r:id="rId10">
              <w:r w:rsidRPr="007B5AD1">
                <w:rPr>
                  <w:rStyle w:val="czeinternetowe"/>
                  <w:color w:val="000000" w:themeColor="text1"/>
                </w:rPr>
                <w:t>czerwca</w:t>
              </w:r>
            </w:hyperlink>
            <w:r w:rsidRPr="007B5AD1">
              <w:rPr>
                <w:color w:val="000000" w:themeColor="text1"/>
              </w:rPr>
              <w:t xml:space="preserve"> </w:t>
            </w:r>
            <w:hyperlink r:id="rId11">
              <w:r w:rsidRPr="007B5AD1">
                <w:rPr>
                  <w:rStyle w:val="czeinternetowe"/>
                  <w:color w:val="000000" w:themeColor="text1"/>
                </w:rPr>
                <w:t>1997</w:t>
              </w:r>
            </w:hyperlink>
            <w:r w:rsidRPr="007B5AD1">
              <w:rPr>
                <w:color w:val="000000" w:themeColor="text1"/>
              </w:rPr>
              <w:t xml:space="preserve"> r. wraz ze wszystkimi jej nowelizacjami.</w:t>
            </w:r>
          </w:p>
        </w:tc>
      </w:tr>
      <w:tr w:rsidR="00BB4DEA" w14:paraId="3D007D0A"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68D98AF"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127316A" w14:textId="1C4090D1" w:rsidR="00BB4DEA" w:rsidRPr="007B5AD1" w:rsidRDefault="00BB4DEA" w:rsidP="004561CF">
            <w:pPr>
              <w:pStyle w:val="Standard"/>
              <w:snapToGrid w:val="0"/>
              <w:jc w:val="both"/>
              <w:rPr>
                <w:color w:val="000000" w:themeColor="text1"/>
              </w:rPr>
            </w:pPr>
            <w:r w:rsidRPr="00BB4DEA">
              <w:rPr>
                <w:color w:val="000000" w:themeColor="text1"/>
              </w:rPr>
              <w:t>Oznakowanie pojazdu zgodne z Zarządzeniem Nr 1 Komendanta Głównego PSP z dnia 24 stycznia 2020 r., w sprawie gospodarki transportowej w jednostkach organizacyjnych PSP (Dz. Urz. KG PSP z 2020 r. poz. 3 ze zm.) Numery operacyjne na obu płaszczyznach bocznych nadwozi i na dachu (</w:t>
            </w:r>
            <w:r w:rsidRPr="003E3AEC">
              <w:rPr>
                <w:b/>
                <w:bCs/>
                <w:color w:val="000000" w:themeColor="text1"/>
              </w:rPr>
              <w:t>numery operacyjne zostaną podane po podpisaniu umowy</w:t>
            </w:r>
            <w:r w:rsidRPr="00BB4DEA">
              <w:rPr>
                <w:color w:val="000000" w:themeColor="text1"/>
              </w:rPr>
              <w:t>).</w:t>
            </w:r>
          </w:p>
        </w:tc>
      </w:tr>
      <w:tr w:rsidR="00BB4DEA" w14:paraId="0F340442"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3A32254"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468AFFC" w14:textId="7FC0E855" w:rsidR="00BB4DEA" w:rsidRPr="00BB4DEA" w:rsidRDefault="00BB4DEA" w:rsidP="004561CF">
            <w:pPr>
              <w:pStyle w:val="Standard"/>
              <w:snapToGrid w:val="0"/>
              <w:jc w:val="both"/>
              <w:rPr>
                <w:color w:val="000000" w:themeColor="text1"/>
              </w:rPr>
            </w:pPr>
            <w:r w:rsidRPr="00BB4DEA">
              <w:rPr>
                <w:color w:val="000000" w:themeColor="text1"/>
              </w:rPr>
              <w:t>Pojazd musi spełniać wymagania rozporządzenia Ministra Infrastruktury z dnia 31 grudnia 2002 r. w sprawie warunków technicznych pojazdów oraz zakresu ich niezbędnego wyposażenia (t. j. Dz. U. z 2024 r., poz. 502, z późniejszymi zmianami).</w:t>
            </w:r>
          </w:p>
        </w:tc>
      </w:tr>
      <w:tr w:rsidR="00BB4DEA" w14:paraId="2D79B068"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56C9CE76"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70258F1" w14:textId="6B11F078" w:rsidR="00BB4DEA" w:rsidRPr="0038149D" w:rsidRDefault="00BB4DEA" w:rsidP="004561CF">
            <w:pPr>
              <w:pStyle w:val="Standard"/>
              <w:snapToGrid w:val="0"/>
              <w:jc w:val="both"/>
              <w:rPr>
                <w:color w:val="000000" w:themeColor="text1"/>
              </w:rPr>
            </w:pPr>
            <w:r w:rsidRPr="0038149D">
              <w:rPr>
                <w:color w:val="000000" w:themeColor="text1"/>
              </w:rPr>
              <w:t>Samochód fabrycznie nowy - wyprodukowany nie wcześniej niż w 2023 roku.</w:t>
            </w:r>
          </w:p>
        </w:tc>
      </w:tr>
      <w:tr w:rsidR="00BB4DEA" w14:paraId="42CC8C0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0715D86"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81DAC0F" w14:textId="77777777" w:rsidR="00BB4DEA" w:rsidRPr="007B5AD1" w:rsidRDefault="00BB4DEA" w:rsidP="004561CF">
            <w:pPr>
              <w:pStyle w:val="Standard"/>
              <w:snapToGrid w:val="0"/>
              <w:jc w:val="both"/>
              <w:rPr>
                <w:color w:val="000000" w:themeColor="text1"/>
              </w:rPr>
            </w:pPr>
            <w:r w:rsidRPr="007B5AD1">
              <w:rPr>
                <w:color w:val="000000" w:themeColor="text1"/>
              </w:rPr>
              <w:t xml:space="preserve">Samochód musi posiadać świadectwo homologacji typu lub świadectwo zgodności WE. </w:t>
            </w:r>
          </w:p>
        </w:tc>
      </w:tr>
      <w:tr w:rsidR="00BB4DEA" w14:paraId="60882C9A"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C24CA2D"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A6CEDD2" w14:textId="7174BA2B" w:rsidR="00BB4DEA" w:rsidRPr="007B5AD1" w:rsidRDefault="00BB4DEA" w:rsidP="004561CF">
            <w:pPr>
              <w:pStyle w:val="Standard"/>
              <w:snapToGrid w:val="0"/>
              <w:jc w:val="both"/>
              <w:rPr>
                <w:color w:val="000000" w:themeColor="text1"/>
              </w:rPr>
            </w:pPr>
            <w:r w:rsidRPr="007B5AD1">
              <w:rPr>
                <w:color w:val="000000" w:themeColor="text1"/>
              </w:rPr>
              <w:t>Liczba miejsc do siedzenia – min. 5 z kierowcą.</w:t>
            </w:r>
          </w:p>
        </w:tc>
      </w:tr>
      <w:tr w:rsidR="00BB4DEA" w14:paraId="615FB656"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C7A9A52"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67F013F" w14:textId="0877B721" w:rsidR="00BB4DEA" w:rsidRPr="007B5AD1" w:rsidRDefault="00BB4DEA" w:rsidP="004561CF">
            <w:pPr>
              <w:pStyle w:val="Standard"/>
              <w:snapToGrid w:val="0"/>
              <w:jc w:val="both"/>
              <w:rPr>
                <w:color w:val="000000" w:themeColor="text1"/>
              </w:rPr>
            </w:pPr>
            <w:r w:rsidRPr="00BB4DEA">
              <w:rPr>
                <w:color w:val="000000" w:themeColor="text1"/>
              </w:rPr>
              <w:t>Zmiany adaptacyjne pojazdu, dotyczące montażu wyposażenia, nie mogą powodować utraty ani ograniczać uprawnień wynikających z fabrycznej gwarancji.</w:t>
            </w:r>
          </w:p>
        </w:tc>
      </w:tr>
      <w:tr w:rsidR="00BB4DEA" w14:paraId="1CFDEEFB"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323ED14"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EB1B3E0" w14:textId="168B7E58" w:rsidR="00BB4DEA" w:rsidRDefault="00BB4DEA" w:rsidP="004561CF">
            <w:pPr>
              <w:pStyle w:val="Standard"/>
              <w:snapToGrid w:val="0"/>
              <w:jc w:val="both"/>
              <w:rPr>
                <w:color w:val="000000"/>
                <w:highlight w:val="yellow"/>
              </w:rPr>
            </w:pPr>
            <w:r w:rsidRPr="00BB4DEA">
              <w:rPr>
                <w:color w:val="000000" w:themeColor="text1"/>
              </w:rPr>
              <w:t xml:space="preserve">Na pojeździe należy zamieścić tabliczkę/naklejkę informacyjną formatu A5. Dokładne jej umiejscowienie zostanie wskazane przez Zamawiającego po podpisaniu umowy. Tabliczkę należy wykonać na folii samoprzylepnej, odpornej na niekorzystne działanie warunków atmosferycznych. Wzór tabliczki stanowi załącznik nr </w:t>
            </w:r>
            <w:r w:rsidR="004163BC">
              <w:rPr>
                <w:color w:val="000000" w:themeColor="text1"/>
              </w:rPr>
              <w:t>4</w:t>
            </w:r>
            <w:r w:rsidRPr="00BB4DEA">
              <w:rPr>
                <w:color w:val="000000" w:themeColor="text1"/>
              </w:rPr>
              <w:t xml:space="preserve"> do </w:t>
            </w:r>
            <w:r w:rsidR="004163BC">
              <w:rPr>
                <w:color w:val="000000" w:themeColor="text1"/>
              </w:rPr>
              <w:t>zaproszenia do złożenia oferty cenowej</w:t>
            </w:r>
            <w:r w:rsidRPr="00BB4DEA">
              <w:rPr>
                <w:color w:val="000000" w:themeColor="text1"/>
              </w:rPr>
              <w:t>/załącznik nr 3 do umowy. Dodatkowo, Wykonawca przekaże po 5 szt. tabliczek umożliwiających samodzielne ich naklejanie.</w:t>
            </w:r>
          </w:p>
        </w:tc>
      </w:tr>
      <w:tr w:rsidR="00BB4DEA" w14:paraId="7032F9A5" w14:textId="77777777" w:rsidTr="00BB4DEA">
        <w:tc>
          <w:tcPr>
            <w:tcW w:w="846" w:type="dxa"/>
            <w:tcBorders>
              <w:top w:val="single" w:sz="4" w:space="0" w:color="000001"/>
              <w:left w:val="single" w:sz="4" w:space="0" w:color="000001"/>
              <w:bottom w:val="single" w:sz="4" w:space="0" w:color="000001"/>
            </w:tcBorders>
            <w:shd w:val="clear" w:color="auto" w:fill="C0C0C0"/>
            <w:tcMar>
              <w:left w:w="98" w:type="dxa"/>
            </w:tcMar>
          </w:tcPr>
          <w:p w14:paraId="54C5C9BC" w14:textId="77777777" w:rsidR="00BB4DEA" w:rsidRDefault="00BB4DEA">
            <w:pPr>
              <w:pStyle w:val="Standard"/>
              <w:numPr>
                <w:ilvl w:val="0"/>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42D904C4" w14:textId="77777777" w:rsidR="00BB4DEA" w:rsidRPr="004561CF" w:rsidRDefault="00BB4DEA">
            <w:pPr>
              <w:pStyle w:val="Standard"/>
              <w:snapToGrid w:val="0"/>
              <w:jc w:val="center"/>
              <w:rPr>
                <w:b/>
                <w:bCs/>
              </w:rPr>
            </w:pPr>
            <w:r w:rsidRPr="004561CF">
              <w:rPr>
                <w:b/>
                <w:bCs/>
              </w:rPr>
              <w:t>Podstawowe parametry napędu/podwozia</w:t>
            </w:r>
          </w:p>
        </w:tc>
      </w:tr>
      <w:tr w:rsidR="00BB4DEA" w14:paraId="49A60B4C"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EA02A0C"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179F8FC" w14:textId="0492F174" w:rsidR="00BB4DEA" w:rsidRPr="00BB4DEA" w:rsidRDefault="00BB4DEA" w:rsidP="004561CF">
            <w:pPr>
              <w:jc w:val="both"/>
              <w:rPr>
                <w:sz w:val="24"/>
                <w:szCs w:val="24"/>
              </w:rPr>
            </w:pPr>
            <w:r w:rsidRPr="00BB4DEA">
              <w:rPr>
                <w:sz w:val="24"/>
                <w:szCs w:val="24"/>
              </w:rPr>
              <w:t>Silnik o zapłonie iskrowym, moc min</w:t>
            </w:r>
            <w:r w:rsidRPr="00006D43">
              <w:rPr>
                <w:sz w:val="24"/>
                <w:szCs w:val="24"/>
              </w:rPr>
              <w:t xml:space="preserve">. 100 kW, </w:t>
            </w:r>
            <w:r w:rsidRPr="00BB4DEA">
              <w:rPr>
                <w:sz w:val="24"/>
                <w:szCs w:val="24"/>
              </w:rPr>
              <w:t xml:space="preserve">maksymalny moment </w:t>
            </w:r>
            <w:r w:rsidRPr="0049335A">
              <w:rPr>
                <w:sz w:val="24"/>
                <w:szCs w:val="24"/>
              </w:rPr>
              <w:t>obrotowy min. 1</w:t>
            </w:r>
            <w:r w:rsidR="0049335A" w:rsidRPr="0049335A">
              <w:rPr>
                <w:sz w:val="24"/>
                <w:szCs w:val="24"/>
              </w:rPr>
              <w:t>4</w:t>
            </w:r>
            <w:r w:rsidRPr="0049335A">
              <w:rPr>
                <w:sz w:val="24"/>
                <w:szCs w:val="24"/>
              </w:rPr>
              <w:t xml:space="preserve">0 </w:t>
            </w:r>
            <w:proofErr w:type="spellStart"/>
            <w:r w:rsidRPr="0049335A">
              <w:rPr>
                <w:sz w:val="24"/>
                <w:szCs w:val="24"/>
              </w:rPr>
              <w:t>Nm</w:t>
            </w:r>
            <w:proofErr w:type="spellEnd"/>
            <w:r w:rsidRPr="0049335A">
              <w:rPr>
                <w:sz w:val="24"/>
                <w:szCs w:val="24"/>
              </w:rPr>
              <w:t>, min. pojemność 14</w:t>
            </w:r>
            <w:r w:rsidR="00006D43" w:rsidRPr="0049335A">
              <w:rPr>
                <w:sz w:val="24"/>
                <w:szCs w:val="24"/>
              </w:rPr>
              <w:t xml:space="preserve">50 </w:t>
            </w:r>
            <w:r w:rsidRPr="0049335A">
              <w:rPr>
                <w:sz w:val="24"/>
                <w:szCs w:val="24"/>
              </w:rPr>
              <w:t>cm</w:t>
            </w:r>
            <w:r w:rsidRPr="0049335A">
              <w:rPr>
                <w:sz w:val="24"/>
                <w:szCs w:val="24"/>
                <w:vertAlign w:val="superscript"/>
              </w:rPr>
              <w:t>3</w:t>
            </w:r>
            <w:r w:rsidRPr="0049335A">
              <w:rPr>
                <w:sz w:val="24"/>
                <w:szCs w:val="24"/>
              </w:rPr>
              <w:t>. Silnik produkowany seryjnie, bez przeróbek. Zamawiający dopuszcza napęd hybrydowy.</w:t>
            </w:r>
          </w:p>
        </w:tc>
      </w:tr>
      <w:tr w:rsidR="00BB4DEA" w14:paraId="74FCB812"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9259093"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0127FC1F" w14:textId="3F6C0E30" w:rsidR="00BB4DEA" w:rsidRPr="00BB4DEA" w:rsidRDefault="00BB4DEA" w:rsidP="004561CF">
            <w:pPr>
              <w:pStyle w:val="Standard"/>
              <w:snapToGrid w:val="0"/>
              <w:spacing w:line="276" w:lineRule="auto"/>
              <w:jc w:val="both"/>
              <w:rPr>
                <w:color w:val="000000" w:themeColor="text1"/>
              </w:rPr>
            </w:pPr>
            <w:r w:rsidRPr="00BB4DEA">
              <w:rPr>
                <w:color w:val="000000" w:themeColor="text1"/>
              </w:rPr>
              <w:t>Skrzynia biegów automatyczna.</w:t>
            </w:r>
          </w:p>
        </w:tc>
      </w:tr>
      <w:tr w:rsidR="00BB4DEA" w14:paraId="77AEB2E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E2E8D9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AFAA7DA" w14:textId="77777777" w:rsidR="00BB4DEA" w:rsidRPr="00BB4DEA" w:rsidRDefault="00BB4DEA" w:rsidP="004561CF">
            <w:pPr>
              <w:pStyle w:val="Standard"/>
              <w:snapToGrid w:val="0"/>
              <w:jc w:val="both"/>
              <w:rPr>
                <w:color w:val="000000" w:themeColor="text1"/>
              </w:rPr>
            </w:pPr>
            <w:r w:rsidRPr="00BB4DEA">
              <w:rPr>
                <w:color w:val="000000" w:themeColor="text1"/>
              </w:rPr>
              <w:t xml:space="preserve">Dopuszczalna masa całkowita max. </w:t>
            </w:r>
            <w:r w:rsidRPr="00BB4DEA">
              <w:rPr>
                <w:bCs/>
                <w:color w:val="000000" w:themeColor="text1"/>
              </w:rPr>
              <w:t>3500 [kg].</w:t>
            </w:r>
          </w:p>
        </w:tc>
      </w:tr>
      <w:tr w:rsidR="00BB4DEA" w14:paraId="0E8D5652"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4124E1E"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D4B94A9" w14:textId="500EC6F7" w:rsidR="00BB4DEA" w:rsidRPr="00BB4DEA" w:rsidRDefault="00BB4DEA" w:rsidP="004561CF">
            <w:pPr>
              <w:pStyle w:val="Standard"/>
              <w:snapToGrid w:val="0"/>
              <w:jc w:val="both"/>
            </w:pPr>
            <w:r w:rsidRPr="00BB4DEA">
              <w:rPr>
                <w:color w:val="000000" w:themeColor="text1"/>
              </w:rPr>
              <w:t xml:space="preserve">Zbiornik paliwa o pojemności minimum </w:t>
            </w:r>
            <w:r w:rsidRPr="00BB4DEA">
              <w:rPr>
                <w:bCs/>
                <w:color w:val="000000" w:themeColor="text1"/>
              </w:rPr>
              <w:t>4</w:t>
            </w:r>
            <w:r w:rsidR="0049335A">
              <w:rPr>
                <w:bCs/>
                <w:color w:val="000000" w:themeColor="text1"/>
              </w:rPr>
              <w:t>0</w:t>
            </w:r>
            <w:r w:rsidRPr="00BB4DEA">
              <w:rPr>
                <w:bCs/>
                <w:color w:val="000000" w:themeColor="text1"/>
              </w:rPr>
              <w:t xml:space="preserve"> l.</w:t>
            </w:r>
          </w:p>
        </w:tc>
      </w:tr>
      <w:tr w:rsidR="00BB4DEA" w14:paraId="78F65F37" w14:textId="77777777" w:rsidTr="00BB4DEA">
        <w:tc>
          <w:tcPr>
            <w:tcW w:w="846" w:type="dxa"/>
            <w:tcBorders>
              <w:top w:val="single" w:sz="4" w:space="0" w:color="000001"/>
              <w:left w:val="single" w:sz="4" w:space="0" w:color="000001"/>
              <w:bottom w:val="single" w:sz="4" w:space="0" w:color="000001"/>
            </w:tcBorders>
            <w:shd w:val="clear" w:color="auto" w:fill="C0C0C0"/>
            <w:tcMar>
              <w:left w:w="98" w:type="dxa"/>
            </w:tcMar>
          </w:tcPr>
          <w:p w14:paraId="2642C4AC" w14:textId="77777777" w:rsidR="00BB4DEA" w:rsidRDefault="00BB4DEA">
            <w:pPr>
              <w:pStyle w:val="Standard"/>
              <w:numPr>
                <w:ilvl w:val="0"/>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6A7FBFA4" w14:textId="77777777" w:rsidR="00BB4DEA" w:rsidRPr="004561CF" w:rsidRDefault="00BB4DEA">
            <w:pPr>
              <w:pStyle w:val="Standard"/>
              <w:snapToGrid w:val="0"/>
              <w:jc w:val="center"/>
              <w:rPr>
                <w:b/>
                <w:bCs/>
              </w:rPr>
            </w:pPr>
            <w:r w:rsidRPr="004561CF">
              <w:rPr>
                <w:b/>
                <w:bCs/>
              </w:rPr>
              <w:t>Podstawowe parametry nadwozia/pojazdu</w:t>
            </w:r>
          </w:p>
        </w:tc>
      </w:tr>
      <w:tr w:rsidR="00BB4DEA" w:rsidRPr="003B2F1B" w14:paraId="2F9209B9"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EAFC143"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795D99E" w14:textId="46B53CBE" w:rsidR="00BB4DEA" w:rsidRPr="00BB4DEA" w:rsidRDefault="00BB4DEA" w:rsidP="004561CF">
            <w:pPr>
              <w:pStyle w:val="Standard"/>
              <w:snapToGrid w:val="0"/>
              <w:jc w:val="both"/>
              <w:rPr>
                <w:bCs/>
                <w:lang w:val="en-US"/>
              </w:rPr>
            </w:pPr>
            <w:proofErr w:type="spellStart"/>
            <w:r w:rsidRPr="00BB4DEA">
              <w:rPr>
                <w:lang w:val="en-US"/>
              </w:rPr>
              <w:t>Nadwozie</w:t>
            </w:r>
            <w:proofErr w:type="spellEnd"/>
            <w:r w:rsidRPr="00BB4DEA">
              <w:rPr>
                <w:lang w:val="en-US"/>
              </w:rPr>
              <w:t xml:space="preserve"> </w:t>
            </w:r>
            <w:proofErr w:type="spellStart"/>
            <w:r w:rsidRPr="00BB4DEA">
              <w:rPr>
                <w:lang w:val="en-US"/>
              </w:rPr>
              <w:t>typu</w:t>
            </w:r>
            <w:proofErr w:type="spellEnd"/>
            <w:r w:rsidRPr="00BB4DEA">
              <w:rPr>
                <w:lang w:val="en-US"/>
              </w:rPr>
              <w:t xml:space="preserve">: </w:t>
            </w:r>
            <w:r w:rsidRPr="00BB4DEA">
              <w:rPr>
                <w:bCs/>
                <w:lang w:val="en-US"/>
              </w:rPr>
              <w:t>liftback/sedan</w:t>
            </w:r>
          </w:p>
        </w:tc>
      </w:tr>
      <w:tr w:rsidR="00BB4DEA" w14:paraId="04883430"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08BC671" w14:textId="77777777" w:rsidR="00BB4DEA" w:rsidRPr="003B2F1B" w:rsidRDefault="00BB4DEA">
            <w:pPr>
              <w:pStyle w:val="Standard"/>
              <w:numPr>
                <w:ilvl w:val="1"/>
                <w:numId w:val="2"/>
              </w:numPr>
              <w:snapToGrid w:val="0"/>
              <w:rPr>
                <w:lang w:val="en-US"/>
              </w:rPr>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D48946C" w14:textId="300F648F" w:rsidR="00BB4DEA" w:rsidRPr="00BB4DEA" w:rsidRDefault="00BB4DEA" w:rsidP="004561CF">
            <w:pPr>
              <w:pStyle w:val="Standard"/>
              <w:snapToGrid w:val="0"/>
              <w:jc w:val="both"/>
            </w:pPr>
            <w:r w:rsidRPr="00BB4DEA">
              <w:t>Kolor nadwozia: biały, czerwony lub srebrny.</w:t>
            </w:r>
          </w:p>
        </w:tc>
      </w:tr>
      <w:tr w:rsidR="00BB4DEA" w14:paraId="67B3BD54"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7846D0C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FC45D1A" w14:textId="77777777" w:rsidR="00BB4DEA" w:rsidRPr="00EA411E" w:rsidRDefault="00BB4DEA" w:rsidP="004561CF">
            <w:pPr>
              <w:pStyle w:val="Standard"/>
              <w:snapToGrid w:val="0"/>
              <w:jc w:val="both"/>
              <w:rPr>
                <w:color w:val="000000" w:themeColor="text1"/>
              </w:rPr>
            </w:pPr>
            <w:r w:rsidRPr="00EA411E">
              <w:rPr>
                <w:color w:val="000000" w:themeColor="text1"/>
              </w:rPr>
              <w:t>Zderzaki lakierowane w kolorze nadwozia.</w:t>
            </w:r>
          </w:p>
        </w:tc>
      </w:tr>
      <w:tr w:rsidR="00BB4DEA" w14:paraId="1FBE3842"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75733B5F"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60B98F04" w14:textId="028E51F8" w:rsidR="00BB4DEA" w:rsidRPr="0038149D" w:rsidRDefault="00BB4DEA" w:rsidP="004561CF">
            <w:pPr>
              <w:pStyle w:val="Standard"/>
              <w:snapToGrid w:val="0"/>
              <w:jc w:val="both"/>
              <w:rPr>
                <w:color w:val="000000" w:themeColor="text1"/>
              </w:rPr>
            </w:pPr>
            <w:r w:rsidRPr="0038149D">
              <w:rPr>
                <w:color w:val="000000" w:themeColor="text1"/>
              </w:rPr>
              <w:t>Wymiary pojazdu [mm]:</w:t>
            </w:r>
          </w:p>
          <w:p w14:paraId="49B06EAF" w14:textId="3A5DACBF" w:rsidR="00BB4DEA" w:rsidRPr="0049335A" w:rsidRDefault="00BB4DEA" w:rsidP="004561CF">
            <w:pPr>
              <w:pStyle w:val="Akapitzlist"/>
              <w:numPr>
                <w:ilvl w:val="0"/>
                <w:numId w:val="3"/>
              </w:numPr>
              <w:suppressAutoHyphens/>
              <w:spacing w:after="0" w:line="240" w:lineRule="auto"/>
              <w:ind w:left="567" w:hanging="283"/>
              <w:jc w:val="both"/>
              <w:rPr>
                <w:rFonts w:ascii="Times New Roman" w:hAnsi="Times New Roman"/>
                <w:lang w:bidi="hi-IN"/>
              </w:rPr>
            </w:pPr>
            <w:r w:rsidRPr="0049335A">
              <w:rPr>
                <w:rFonts w:ascii="Times New Roman" w:hAnsi="Times New Roman"/>
                <w:lang w:bidi="hi-IN"/>
              </w:rPr>
              <w:t xml:space="preserve">długość: min. </w:t>
            </w:r>
            <w:r w:rsidRPr="0049335A">
              <w:rPr>
                <w:rFonts w:ascii="Times New Roman" w:hAnsi="Times New Roman"/>
                <w:bCs/>
                <w:lang w:bidi="hi-IN"/>
              </w:rPr>
              <w:t>4</w:t>
            </w:r>
            <w:r w:rsidR="0049335A" w:rsidRPr="0049335A">
              <w:rPr>
                <w:rFonts w:ascii="Times New Roman" w:hAnsi="Times New Roman"/>
                <w:bCs/>
                <w:lang w:bidi="hi-IN"/>
              </w:rPr>
              <w:t>6</w:t>
            </w:r>
            <w:r w:rsidRPr="0049335A">
              <w:rPr>
                <w:rFonts w:ascii="Times New Roman" w:hAnsi="Times New Roman"/>
                <w:bCs/>
                <w:lang w:bidi="hi-IN"/>
              </w:rPr>
              <w:t>00,</w:t>
            </w:r>
          </w:p>
          <w:p w14:paraId="10930E70" w14:textId="76513E59" w:rsidR="00BB4DEA" w:rsidRPr="0049335A" w:rsidRDefault="00BB4DEA" w:rsidP="004561CF">
            <w:pPr>
              <w:pStyle w:val="Akapitzlist"/>
              <w:numPr>
                <w:ilvl w:val="0"/>
                <w:numId w:val="4"/>
              </w:numPr>
              <w:suppressAutoHyphens/>
              <w:spacing w:after="0" w:line="240" w:lineRule="auto"/>
              <w:ind w:left="567" w:hanging="283"/>
              <w:jc w:val="both"/>
              <w:rPr>
                <w:rFonts w:ascii="Times New Roman" w:hAnsi="Times New Roman"/>
                <w:lang w:bidi="hi-IN"/>
              </w:rPr>
            </w:pPr>
            <w:r w:rsidRPr="0049335A">
              <w:rPr>
                <w:rFonts w:ascii="Times New Roman" w:hAnsi="Times New Roman"/>
                <w:lang w:bidi="hi-IN"/>
              </w:rPr>
              <w:t xml:space="preserve">rozstaw osi: min. </w:t>
            </w:r>
            <w:r w:rsidRPr="0049335A">
              <w:rPr>
                <w:rFonts w:ascii="Times New Roman" w:hAnsi="Times New Roman"/>
                <w:bCs/>
                <w:lang w:bidi="hi-IN"/>
              </w:rPr>
              <w:t>2650,</w:t>
            </w:r>
          </w:p>
          <w:p w14:paraId="749D9083" w14:textId="0BD4A9B8" w:rsidR="00BB4DEA" w:rsidRDefault="00BB4DEA" w:rsidP="004561CF">
            <w:pPr>
              <w:pStyle w:val="Akapitzlist"/>
              <w:numPr>
                <w:ilvl w:val="0"/>
                <w:numId w:val="4"/>
              </w:numPr>
              <w:suppressAutoHyphens/>
              <w:spacing w:after="0" w:line="240" w:lineRule="auto"/>
              <w:ind w:left="567" w:hanging="283"/>
              <w:jc w:val="both"/>
            </w:pPr>
            <w:r w:rsidRPr="0049335A">
              <w:rPr>
                <w:rFonts w:ascii="Times New Roman" w:hAnsi="Times New Roman"/>
                <w:lang w:bidi="hi-IN"/>
              </w:rPr>
              <w:t xml:space="preserve">szerokość z rozłożonymi lusterkami </w:t>
            </w:r>
            <w:r w:rsidRPr="0049335A">
              <w:rPr>
                <w:rFonts w:ascii="Times New Roman" w:hAnsi="Times New Roman"/>
                <w:bCs/>
                <w:lang w:bidi="hi-IN"/>
              </w:rPr>
              <w:t xml:space="preserve">max. </w:t>
            </w:r>
            <w:r w:rsidR="00226870">
              <w:rPr>
                <w:rFonts w:ascii="Times New Roman" w:hAnsi="Times New Roman"/>
                <w:bCs/>
                <w:lang w:bidi="hi-IN"/>
              </w:rPr>
              <w:t>2020</w:t>
            </w:r>
            <w:r w:rsidRPr="0049335A">
              <w:rPr>
                <w:rFonts w:ascii="Times New Roman" w:hAnsi="Times New Roman"/>
                <w:bCs/>
                <w:lang w:bidi="hi-IN"/>
              </w:rPr>
              <w:t>.</w:t>
            </w:r>
          </w:p>
        </w:tc>
      </w:tr>
      <w:tr w:rsidR="00BB4DEA" w14:paraId="669F448A"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5F8101F5"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733506DE" w14:textId="1B033F05" w:rsidR="00BB4DEA" w:rsidRDefault="00BB4DEA" w:rsidP="004561CF">
            <w:pPr>
              <w:pStyle w:val="Standard"/>
              <w:snapToGrid w:val="0"/>
              <w:jc w:val="both"/>
            </w:pPr>
            <w:r>
              <w:t xml:space="preserve">Pojemność bagażnika (siedzenia rozłożone – dla 5 osób w pojeździe) – </w:t>
            </w:r>
            <w:r w:rsidRPr="0049335A">
              <w:t>min. 460 l.</w:t>
            </w:r>
          </w:p>
        </w:tc>
      </w:tr>
      <w:tr w:rsidR="00BB4DEA" w14:paraId="1520F472"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715614A"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A4210B9" w14:textId="77777777" w:rsidR="00BB4DEA" w:rsidRPr="002461E2" w:rsidRDefault="00BB4DEA" w:rsidP="004561CF">
            <w:pPr>
              <w:pStyle w:val="Standard"/>
              <w:snapToGrid w:val="0"/>
              <w:jc w:val="both"/>
            </w:pPr>
            <w:r w:rsidRPr="002461E2">
              <w:t>Konstrukcja pojazdu o nadwoziu samonośnym, jednobryłowym pięciodrzwiowym.</w:t>
            </w:r>
          </w:p>
        </w:tc>
      </w:tr>
      <w:tr w:rsidR="00BB4DEA" w14:paraId="5E2E5389"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C4E69BF"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73B7DEE" w14:textId="77777777" w:rsidR="00BB4DEA" w:rsidRPr="002461E2" w:rsidRDefault="00BB4DEA" w:rsidP="004561CF">
            <w:pPr>
              <w:pStyle w:val="Standard"/>
              <w:snapToGrid w:val="0"/>
              <w:jc w:val="both"/>
            </w:pPr>
            <w:r w:rsidRPr="002461E2">
              <w:t>Lusterka zewnętrzne elektrycznie regulowane i ogrzewane.</w:t>
            </w:r>
          </w:p>
        </w:tc>
      </w:tr>
      <w:tr w:rsidR="00BB4DEA" w14:paraId="5567195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2479B5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01F3A04" w14:textId="77777777" w:rsidR="00BB4DEA" w:rsidRPr="002461E2" w:rsidRDefault="00BB4DEA" w:rsidP="004561CF">
            <w:pPr>
              <w:pStyle w:val="Standard"/>
              <w:snapToGrid w:val="0"/>
              <w:jc w:val="both"/>
            </w:pPr>
            <w:r w:rsidRPr="002461E2">
              <w:rPr>
                <w:highlight w:val="white"/>
              </w:rPr>
              <w:t xml:space="preserve">System zapobiegający blokowaniu kół podczas hamowania [ABS], system stabilizacji toru jazdy [ESP], </w:t>
            </w:r>
          </w:p>
        </w:tc>
      </w:tr>
      <w:tr w:rsidR="00BB4DEA" w14:paraId="1D818BEA"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F43FAB1"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DF53B35" w14:textId="77777777" w:rsidR="00BB4DEA" w:rsidRPr="002461E2" w:rsidRDefault="00BB4DEA" w:rsidP="004561CF">
            <w:pPr>
              <w:pStyle w:val="Standard"/>
              <w:snapToGrid w:val="0"/>
              <w:jc w:val="both"/>
              <w:rPr>
                <w:highlight w:val="white"/>
              </w:rPr>
            </w:pPr>
            <w:r w:rsidRPr="002461E2">
              <w:rPr>
                <w:highlight w:val="white"/>
              </w:rPr>
              <w:t>Zamontowana osłona silnika.</w:t>
            </w:r>
          </w:p>
        </w:tc>
      </w:tr>
      <w:tr w:rsidR="00BB4DEA" w14:paraId="3B050073"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DE13ED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53485BD" w14:textId="77777777" w:rsidR="00BB4DEA" w:rsidRPr="002461E2" w:rsidRDefault="00BB4DEA" w:rsidP="004561CF">
            <w:pPr>
              <w:pStyle w:val="Standard"/>
              <w:snapToGrid w:val="0"/>
              <w:jc w:val="both"/>
              <w:rPr>
                <w:highlight w:val="white"/>
              </w:rPr>
            </w:pPr>
            <w:r w:rsidRPr="002461E2">
              <w:t>Pełnowymiarowe koło zapasowe lub dojazdowe.</w:t>
            </w:r>
          </w:p>
        </w:tc>
      </w:tr>
      <w:tr w:rsidR="00BB4DEA" w14:paraId="6D72196B" w14:textId="77777777" w:rsidTr="00BB4DEA">
        <w:tc>
          <w:tcPr>
            <w:tcW w:w="846" w:type="dxa"/>
            <w:tcBorders>
              <w:top w:val="single" w:sz="4" w:space="0" w:color="000001"/>
              <w:left w:val="single" w:sz="4" w:space="0" w:color="000001"/>
              <w:bottom w:val="single" w:sz="4" w:space="0" w:color="000001"/>
            </w:tcBorders>
            <w:shd w:val="clear" w:color="auto" w:fill="C0C0C0"/>
            <w:tcMar>
              <w:left w:w="98" w:type="dxa"/>
            </w:tcMar>
          </w:tcPr>
          <w:p w14:paraId="49EF220E" w14:textId="77777777" w:rsidR="00BB4DEA" w:rsidRDefault="00BB4DEA">
            <w:pPr>
              <w:pStyle w:val="Standard"/>
              <w:numPr>
                <w:ilvl w:val="0"/>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75FA4A99" w14:textId="77777777" w:rsidR="00BB4DEA" w:rsidRPr="004561CF" w:rsidRDefault="00BB4DEA">
            <w:pPr>
              <w:pStyle w:val="Standard"/>
              <w:snapToGrid w:val="0"/>
              <w:jc w:val="center"/>
              <w:rPr>
                <w:b/>
                <w:bCs/>
              </w:rPr>
            </w:pPr>
            <w:r w:rsidRPr="004561CF">
              <w:rPr>
                <w:b/>
                <w:bCs/>
              </w:rPr>
              <w:t>Wyposażenie pojazdu</w:t>
            </w:r>
          </w:p>
        </w:tc>
      </w:tr>
      <w:tr w:rsidR="00BB4DEA" w14:paraId="5E9081C0"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4D460DD0"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38CCCCA" w14:textId="77777777" w:rsidR="00BB4DEA" w:rsidRPr="002461E2" w:rsidRDefault="00BB4DEA" w:rsidP="004561CF">
            <w:pPr>
              <w:pStyle w:val="Standard"/>
              <w:snapToGrid w:val="0"/>
              <w:jc w:val="both"/>
            </w:pPr>
            <w:r w:rsidRPr="002461E2">
              <w:t>Przednie światła do jazdy dziennej LED.</w:t>
            </w:r>
          </w:p>
        </w:tc>
      </w:tr>
      <w:tr w:rsidR="00BB4DEA" w14:paraId="3E586DF6"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8CE928A"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7D8B8A2" w14:textId="77777777" w:rsidR="00BB4DEA" w:rsidRPr="002461E2" w:rsidRDefault="00BB4DEA" w:rsidP="004561CF">
            <w:pPr>
              <w:pStyle w:val="Standard"/>
              <w:snapToGrid w:val="0"/>
              <w:jc w:val="both"/>
            </w:pPr>
            <w:r w:rsidRPr="002461E2">
              <w:t>Światła przeciwmgielne przednie i tylne.</w:t>
            </w:r>
          </w:p>
        </w:tc>
      </w:tr>
      <w:tr w:rsidR="00BB4DEA" w14:paraId="0EC3E944"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17F461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AB0C462" w14:textId="77777777" w:rsidR="00BB4DEA" w:rsidRPr="002461E2" w:rsidRDefault="00BB4DEA" w:rsidP="004561CF">
            <w:pPr>
              <w:pStyle w:val="Standard"/>
              <w:snapToGrid w:val="0"/>
              <w:jc w:val="both"/>
            </w:pPr>
            <w:r w:rsidRPr="002461E2">
              <w:t xml:space="preserve">Szyby boczne przednie i tylne w kabinie sterowane elektrycznie. </w:t>
            </w:r>
          </w:p>
        </w:tc>
      </w:tr>
      <w:tr w:rsidR="00BB4DEA" w14:paraId="255DEC23"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CD88A28"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A38D9B3" w14:textId="38166822" w:rsidR="00BB4DEA" w:rsidRPr="002461E2" w:rsidRDefault="00BB4DEA" w:rsidP="004561CF">
            <w:pPr>
              <w:pStyle w:val="Standard"/>
              <w:snapToGrid w:val="0"/>
              <w:jc w:val="both"/>
            </w:pPr>
            <w:r w:rsidRPr="002461E2">
              <w:t>Immobiliser</w:t>
            </w:r>
          </w:p>
        </w:tc>
      </w:tr>
      <w:tr w:rsidR="00BB4DEA" w14:paraId="7ED4682D"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F38BF0D"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F06225F" w14:textId="77777777" w:rsidR="00BB4DEA" w:rsidRPr="002461E2" w:rsidRDefault="00BB4DEA" w:rsidP="004561CF">
            <w:pPr>
              <w:pStyle w:val="Standard"/>
              <w:snapToGrid w:val="0"/>
              <w:jc w:val="both"/>
            </w:pPr>
            <w:r w:rsidRPr="002461E2">
              <w:t>Poduszki powietrzne w kabinie kierowcy: min. przednie i boczne dla kierowcy i pasażera, trzypunktowe pasy bezpieczeństwa dla wszystkich miejsc.</w:t>
            </w:r>
          </w:p>
        </w:tc>
      </w:tr>
      <w:tr w:rsidR="00BB4DEA" w14:paraId="519E921F"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5AD85BA" w14:textId="77777777" w:rsidR="00BB4DEA" w:rsidRPr="00EE0108"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CF00251" w14:textId="08709331" w:rsidR="00BB4DEA" w:rsidRPr="00EE0108" w:rsidRDefault="00BB4DEA" w:rsidP="004561CF">
            <w:pPr>
              <w:pStyle w:val="Standard"/>
              <w:snapToGrid w:val="0"/>
              <w:jc w:val="both"/>
            </w:pPr>
            <w:r w:rsidRPr="00EE0108">
              <w:t xml:space="preserve">Obręcze kół ze stopów lekkich z oponami letnimi min. </w:t>
            </w:r>
            <w:r w:rsidRPr="00EE0108">
              <w:rPr>
                <w:bCs/>
              </w:rPr>
              <w:t xml:space="preserve">16 </w:t>
            </w:r>
            <w:r w:rsidRPr="00EE0108">
              <w:t>cali. Zamawiający dopuszcza zastosowanie opon wielosezonowych</w:t>
            </w:r>
            <w:r w:rsidR="00EE0108" w:rsidRPr="00EE0108">
              <w:t>.</w:t>
            </w:r>
          </w:p>
        </w:tc>
      </w:tr>
      <w:tr w:rsidR="00BB4DEA" w14:paraId="4200A4ED"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E5B52B1"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0803947" w14:textId="77777777" w:rsidR="00BB4DEA" w:rsidRDefault="00BB4DEA" w:rsidP="004561CF">
            <w:pPr>
              <w:pStyle w:val="Standard"/>
              <w:snapToGrid w:val="0"/>
              <w:jc w:val="both"/>
            </w:pPr>
            <w:r>
              <w:t>Kierownica wielofunkcyjna, umożliwiająca obsługę radia.</w:t>
            </w:r>
          </w:p>
        </w:tc>
      </w:tr>
      <w:tr w:rsidR="00BB4DEA" w14:paraId="160E47DF"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DC3E127"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EA172D4" w14:textId="77777777" w:rsidR="00BB4DEA" w:rsidRDefault="00BB4DEA" w:rsidP="004561CF">
            <w:pPr>
              <w:pStyle w:val="Standard"/>
              <w:snapToGrid w:val="0"/>
              <w:jc w:val="both"/>
            </w:pPr>
            <w:r>
              <w:t>Kolumna kierownicy z regulacją w minimum jednej płaszczyźnie.</w:t>
            </w:r>
          </w:p>
        </w:tc>
      </w:tr>
      <w:tr w:rsidR="00BB4DEA" w14:paraId="4CF4C751"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CE7F0FB"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914A527" w14:textId="77777777" w:rsidR="00BB4DEA" w:rsidRDefault="00BB4DEA" w:rsidP="004561CF">
            <w:pPr>
              <w:pStyle w:val="Zawartotabeli"/>
              <w:snapToGrid w:val="0"/>
              <w:jc w:val="both"/>
              <w:rPr>
                <w:rFonts w:eastAsia="Times New Roman" w:cs="Times New Roman"/>
              </w:rPr>
            </w:pPr>
            <w:r w:rsidRPr="00A06146">
              <w:rPr>
                <w:rFonts w:eastAsia="Times New Roman" w:cs="Times New Roman"/>
              </w:rPr>
              <w:t xml:space="preserve">W kabinie dywaniki dla I </w:t>
            </w:r>
            <w:proofErr w:type="spellStart"/>
            <w:r w:rsidRPr="00A06146">
              <w:rPr>
                <w:rFonts w:eastAsia="Times New Roman" w:cs="Times New Roman"/>
              </w:rPr>
              <w:t>i</w:t>
            </w:r>
            <w:proofErr w:type="spellEnd"/>
            <w:r w:rsidRPr="00A06146">
              <w:rPr>
                <w:rFonts w:eastAsia="Times New Roman" w:cs="Times New Roman"/>
              </w:rPr>
              <w:t xml:space="preserve"> II rzędu siedzeń gumowe.</w:t>
            </w:r>
          </w:p>
        </w:tc>
      </w:tr>
      <w:tr w:rsidR="00BB4DEA" w14:paraId="7FA373F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658F59A5"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76F0C5F" w14:textId="77777777" w:rsidR="00BB4DEA" w:rsidRDefault="00BB4DEA" w:rsidP="004561CF">
            <w:pPr>
              <w:pStyle w:val="Standard"/>
              <w:snapToGrid w:val="0"/>
              <w:jc w:val="both"/>
            </w:pPr>
            <w:r>
              <w:t>Centralny zamek sterowany z pilota.</w:t>
            </w:r>
          </w:p>
        </w:tc>
      </w:tr>
      <w:tr w:rsidR="00BB4DEA" w14:paraId="60793708"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3CA4D7D2"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AF86E54" w14:textId="0189A537" w:rsidR="00BB4DEA" w:rsidRDefault="00BB4DEA" w:rsidP="004561CF">
            <w:pPr>
              <w:pStyle w:val="Standard"/>
              <w:snapToGrid w:val="0"/>
              <w:jc w:val="both"/>
            </w:pPr>
            <w:r w:rsidRPr="00A06146">
              <w:t>Minimum przednie fotele wyposażone w zagłówki z regulacją wysokości, wszystkie siedzenia przodem do kierunku jazdy. Podłokietniki z przodu.</w:t>
            </w:r>
          </w:p>
        </w:tc>
      </w:tr>
      <w:tr w:rsidR="00BB4DEA" w14:paraId="563182F0"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541287E"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FBB238B" w14:textId="500473EC" w:rsidR="00BB4DEA" w:rsidRPr="0049335A" w:rsidRDefault="004561CF" w:rsidP="004561CF">
            <w:pPr>
              <w:pStyle w:val="Standard"/>
              <w:snapToGrid w:val="0"/>
              <w:jc w:val="both"/>
            </w:pPr>
            <w:r w:rsidRPr="0049335A">
              <w:t>F</w:t>
            </w:r>
            <w:r w:rsidR="00BB4DEA" w:rsidRPr="0049335A">
              <w:t>otel</w:t>
            </w:r>
            <w:r w:rsidRPr="0049335A">
              <w:t>e</w:t>
            </w:r>
            <w:r w:rsidR="00BB4DEA" w:rsidRPr="0049335A">
              <w:t xml:space="preserve"> oraz wnętrz</w:t>
            </w:r>
            <w:r w:rsidRPr="0049335A">
              <w:t>e</w:t>
            </w:r>
            <w:r w:rsidR="00BB4DEA" w:rsidRPr="0049335A">
              <w:t xml:space="preserve"> przestrzeni pasażerskiej w ciemnym kolorze, siedzenia wyłożone tapicerką z tkaniny </w:t>
            </w:r>
            <w:r w:rsidRPr="0049335A">
              <w:t xml:space="preserve">o zwiększonej </w:t>
            </w:r>
            <w:r w:rsidR="00BB4DEA" w:rsidRPr="0049335A">
              <w:t>odporn</w:t>
            </w:r>
            <w:r w:rsidRPr="0049335A">
              <w:t>ości</w:t>
            </w:r>
            <w:r w:rsidR="00BB4DEA" w:rsidRPr="0049335A">
              <w:t xml:space="preserve"> na uszkodzenia i łatwą w czyszczeniu lub skórą.</w:t>
            </w:r>
          </w:p>
        </w:tc>
      </w:tr>
      <w:tr w:rsidR="00BB4DEA" w14:paraId="11EBF09F"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44791EE2"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5A29AF1" w14:textId="7ABC8C3C" w:rsidR="00BB4DEA" w:rsidRPr="0049335A" w:rsidRDefault="00BB4DEA" w:rsidP="004561CF">
            <w:pPr>
              <w:pStyle w:val="Standard"/>
              <w:snapToGrid w:val="0"/>
              <w:jc w:val="both"/>
            </w:pPr>
            <w:r w:rsidRPr="0049335A">
              <w:t>Klimatyzacja automatyczna.</w:t>
            </w:r>
          </w:p>
        </w:tc>
      </w:tr>
      <w:tr w:rsidR="00BB4DEA" w14:paraId="621D65F5"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D7ED96F"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6684C4B" w14:textId="77777777" w:rsidR="00BB4DEA" w:rsidRPr="002461E2" w:rsidRDefault="00BB4DEA" w:rsidP="004561CF">
            <w:pPr>
              <w:pStyle w:val="Standard"/>
              <w:snapToGrid w:val="0"/>
              <w:jc w:val="both"/>
            </w:pPr>
            <w:r w:rsidRPr="002461E2">
              <w:t>Instalacja radiowa wyposażona w antenę.</w:t>
            </w:r>
          </w:p>
        </w:tc>
      </w:tr>
      <w:tr w:rsidR="00BB4DEA" w14:paraId="10824B63"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1CDD443E"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F8FC900" w14:textId="261D545F" w:rsidR="00BB4DEA" w:rsidRPr="002461E2" w:rsidRDefault="00BB4DEA" w:rsidP="004561CF">
            <w:pPr>
              <w:pStyle w:val="Zawartotabeli"/>
              <w:snapToGrid w:val="0"/>
              <w:ind w:right="9"/>
              <w:jc w:val="both"/>
              <w:rPr>
                <w:rFonts w:cs="Times New Roman"/>
              </w:rPr>
            </w:pPr>
            <w:r w:rsidRPr="002461E2">
              <w:rPr>
                <w:rFonts w:cs="Times New Roman"/>
              </w:rPr>
              <w:t>Radioodtwarzacz z MP3, Bluetooth</w:t>
            </w:r>
            <w:r>
              <w:rPr>
                <w:rFonts w:cs="Times New Roman"/>
              </w:rPr>
              <w:t xml:space="preserve">, </w:t>
            </w:r>
            <w:r w:rsidRPr="002461E2">
              <w:rPr>
                <w:rFonts w:cs="Times New Roman"/>
              </w:rPr>
              <w:t>systemem głośnomówiącym do telefonu</w:t>
            </w:r>
            <w:r>
              <w:rPr>
                <w:rFonts w:cs="Times New Roman"/>
              </w:rPr>
              <w:t xml:space="preserve"> oraz głośnikami z instalacją elektryczną rozprowadzoną w pojeździe.</w:t>
            </w:r>
          </w:p>
        </w:tc>
      </w:tr>
      <w:tr w:rsidR="00BB4DEA" w14:paraId="6F4B013C"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7192C3CB"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66E30BE" w14:textId="4347F307" w:rsidR="00BB4DEA" w:rsidRPr="002461E2" w:rsidRDefault="00BB4DEA" w:rsidP="004561CF">
            <w:pPr>
              <w:pStyle w:val="Zawartotabeli"/>
              <w:numPr>
                <w:ilvl w:val="0"/>
                <w:numId w:val="5"/>
              </w:numPr>
              <w:snapToGrid w:val="0"/>
              <w:ind w:left="23" w:right="9"/>
              <w:jc w:val="both"/>
              <w:rPr>
                <w:rFonts w:cs="Times New Roman"/>
              </w:rPr>
            </w:pPr>
            <w:r w:rsidRPr="002461E2">
              <w:rPr>
                <w:rFonts w:cs="Times New Roman"/>
              </w:rPr>
              <w:t>Tempomat.</w:t>
            </w:r>
          </w:p>
        </w:tc>
      </w:tr>
      <w:tr w:rsidR="00BB4DEA" w14:paraId="0F68A6BE"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B7B413A"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2820D3C" w14:textId="730AE58C" w:rsidR="00BB4DEA" w:rsidRPr="00CF7523" w:rsidRDefault="00BB4DEA" w:rsidP="004561CF">
            <w:pPr>
              <w:pStyle w:val="Zawartotabeli"/>
              <w:numPr>
                <w:ilvl w:val="0"/>
                <w:numId w:val="5"/>
              </w:numPr>
              <w:snapToGrid w:val="0"/>
              <w:ind w:left="23" w:right="9"/>
              <w:jc w:val="both"/>
              <w:rPr>
                <w:rFonts w:cs="Times New Roman"/>
              </w:rPr>
            </w:pPr>
            <w:r w:rsidRPr="0049335A">
              <w:rPr>
                <w:rFonts w:cs="Times New Roman"/>
              </w:rPr>
              <w:t xml:space="preserve">Czujniki cofania z przodu i tyłu pojazdu </w:t>
            </w:r>
            <w:r w:rsidR="0049335A" w:rsidRPr="0049335A">
              <w:rPr>
                <w:rFonts w:cs="Times New Roman"/>
              </w:rPr>
              <w:t>i/</w:t>
            </w:r>
            <w:r w:rsidRPr="0049335A">
              <w:rPr>
                <w:rFonts w:cs="Times New Roman"/>
              </w:rPr>
              <w:t xml:space="preserve">lub </w:t>
            </w:r>
            <w:r w:rsidR="0049335A" w:rsidRPr="0049335A">
              <w:rPr>
                <w:rFonts w:cs="Times New Roman"/>
              </w:rPr>
              <w:t>kamera cofania.</w:t>
            </w:r>
          </w:p>
        </w:tc>
      </w:tr>
      <w:tr w:rsidR="00BB4DEA" w14:paraId="5DD80E3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0CA1E1E6"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963E5EF" w14:textId="51CA7715" w:rsidR="00BB4DEA" w:rsidRDefault="00BB4DEA" w:rsidP="004561CF">
            <w:pPr>
              <w:pStyle w:val="Standard"/>
              <w:snapToGrid w:val="0"/>
              <w:jc w:val="both"/>
            </w:pPr>
            <w:r>
              <w:t>Deska rozdzielcza wyposażona w prędkościomierz, obrotomierz, wskaźnik poziomu paliwa, wskaźnik temperatury płynu chłodzącego, komputer pokładowy itp.</w:t>
            </w:r>
          </w:p>
        </w:tc>
      </w:tr>
      <w:tr w:rsidR="00BB4DEA" w14:paraId="68FE2CB3"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44A63E14"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8A866E6" w14:textId="77777777" w:rsidR="00BB4DEA" w:rsidRDefault="00BB4DEA" w:rsidP="004561CF">
            <w:pPr>
              <w:pStyle w:val="Standard"/>
              <w:snapToGrid w:val="0"/>
              <w:jc w:val="both"/>
            </w:pPr>
            <w:r>
              <w:rPr>
                <w:highlight w:val="white"/>
              </w:rPr>
              <w:t>Trzecie światło stop.</w:t>
            </w:r>
          </w:p>
        </w:tc>
      </w:tr>
      <w:tr w:rsidR="00BB4DEA" w14:paraId="6F0231D0"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7A05C436"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A454F1E" w14:textId="77777777" w:rsidR="00BB4DEA" w:rsidRDefault="00BB4DEA">
            <w:pPr>
              <w:pStyle w:val="Standard"/>
              <w:snapToGrid w:val="0"/>
            </w:pPr>
            <w:r>
              <w:t>Uchwyt holowniczy z przodu pojazdu (demontowany).</w:t>
            </w:r>
          </w:p>
        </w:tc>
      </w:tr>
      <w:tr w:rsidR="00BB4DEA" w14:paraId="5489C358"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423DF984"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E9A07A8" w14:textId="77777777" w:rsidR="00BB4DEA" w:rsidRDefault="00BB4DEA">
            <w:pPr>
              <w:pStyle w:val="Standard"/>
              <w:snapToGrid w:val="0"/>
            </w:pPr>
            <w:r>
              <w:t>Wspomaganie kierownicy.</w:t>
            </w:r>
          </w:p>
        </w:tc>
      </w:tr>
      <w:tr w:rsidR="00BB4DEA" w14:paraId="187B92DF"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4417FC9B"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742A6E4" w14:textId="77777777" w:rsidR="00BB4DEA" w:rsidRDefault="00BB4DEA">
            <w:pPr>
              <w:pStyle w:val="Standard"/>
              <w:snapToGrid w:val="0"/>
            </w:pPr>
            <w:r>
              <w:rPr>
                <w:color w:val="000000"/>
                <w:highlight w:val="white"/>
              </w:rPr>
              <w:t>Na wyposażeniu: zestaw narzędzi, podnośnik samochodowy, klucz do kół, trójkąt ostrzegawczy, apteczka, gaśnica proszkowa min. 1 kg</w:t>
            </w:r>
          </w:p>
        </w:tc>
      </w:tr>
      <w:tr w:rsidR="00BB4DEA" w14:paraId="62EE164A"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57BE3E98"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87425EF" w14:textId="124E1950" w:rsidR="00BB4DEA" w:rsidRDefault="00BB4DEA">
            <w:pPr>
              <w:pStyle w:val="Standard"/>
              <w:snapToGrid w:val="0"/>
              <w:rPr>
                <w:color w:val="000000"/>
              </w:rPr>
            </w:pPr>
            <w:r>
              <w:rPr>
                <w:color w:val="000000"/>
              </w:rPr>
              <w:t>Gniazdo 12 V – min. 1 szt. w konsoli środkowej pojazdu.</w:t>
            </w:r>
          </w:p>
        </w:tc>
      </w:tr>
      <w:tr w:rsidR="00BB4DEA" w14:paraId="362C21E9" w14:textId="77777777" w:rsidTr="000031DC">
        <w:trPr>
          <w:trHeight w:val="692"/>
        </w:trPr>
        <w:tc>
          <w:tcPr>
            <w:tcW w:w="846" w:type="dxa"/>
            <w:tcBorders>
              <w:top w:val="single" w:sz="4" w:space="0" w:color="000001"/>
              <w:left w:val="single" w:sz="4" w:space="0" w:color="000001"/>
              <w:bottom w:val="single" w:sz="4" w:space="0" w:color="000001"/>
            </w:tcBorders>
            <w:shd w:val="clear" w:color="auto" w:fill="auto"/>
            <w:tcMar>
              <w:left w:w="98" w:type="dxa"/>
            </w:tcMar>
          </w:tcPr>
          <w:p w14:paraId="62DA03DA" w14:textId="77777777" w:rsidR="00BB4DEA" w:rsidRDefault="00BB4DEA">
            <w:pPr>
              <w:pStyle w:val="Standard"/>
              <w:numPr>
                <w:ilvl w:val="1"/>
                <w:numId w:val="2"/>
              </w:numPr>
              <w:snapToGrid w:val="0"/>
              <w:rPr>
                <w:rFonts w:eastAsia="Droid Sans"/>
              </w:rPr>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FD96DDF" w14:textId="77777777" w:rsidR="004561CF" w:rsidRPr="004561CF" w:rsidRDefault="004561CF" w:rsidP="004561CF">
            <w:pPr>
              <w:pStyle w:val="Standard"/>
              <w:jc w:val="both"/>
            </w:pPr>
            <w:r w:rsidRPr="004561CF">
              <w:t>W kabinie kierowcy zamontowany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2019 r. poz.7), dopuszczony do stosowania w sieci PSP w zakresie częstotliwości VHF 136-174 MHz. Parametry szczególne:</w:t>
            </w:r>
          </w:p>
          <w:p w14:paraId="5358F72D" w14:textId="77777777" w:rsidR="004561CF" w:rsidRPr="004561CF" w:rsidRDefault="004561CF" w:rsidP="004561CF">
            <w:pPr>
              <w:pStyle w:val="Standard"/>
              <w:jc w:val="both"/>
            </w:pPr>
            <w:r w:rsidRPr="004561CF">
              <w:t xml:space="preserve">Zamawiający wymaga dostawy radiotelefonu zgodnego z ETSI TS 102 361-2. Zamawiający wymaga zaoferowania i dostarczania radiotelefonu zgodnego z normą EN62368-1 lub EN60950-1 albo EN60065. </w:t>
            </w:r>
          </w:p>
          <w:p w14:paraId="170F5A3C" w14:textId="77777777" w:rsidR="004561CF" w:rsidRPr="004561CF" w:rsidRDefault="004561CF" w:rsidP="004561CF">
            <w:pPr>
              <w:pStyle w:val="Standard"/>
              <w:jc w:val="both"/>
            </w:pPr>
            <w:r w:rsidRPr="004561CF">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przed pyłem i wodą minimum IP54, normy MIL-STD-810 C/D/E/F. Dodatkowo radiotelefon musi mieć możliwość maskowania korespondencji w trybie cyfrowym DMR </w:t>
            </w:r>
            <w:proofErr w:type="spellStart"/>
            <w:r w:rsidRPr="004561CF">
              <w:t>Tier</w:t>
            </w:r>
            <w:proofErr w:type="spellEnd"/>
            <w:r w:rsidRPr="004561CF">
              <w:t xml:space="preserve"> II, algorytmem ARC4 o długości klucza 40 bitów. Antena samochodowa ¼ fali z przegubem amortyzującym w formie sprężyny zamontowana na dachu pojazdu/kabiny z możliwością złożenia/demontażu (śrubunek motylkowy), w taki sposób aby odległość od belki świateł ostrzegawczych lub innych urządzeń nie była mniejsza jak 500 mm (najlepiej na środku dachu pojazdu z zachowaniem 500 mm odległości we wszystkich stronach zarysowując promień tej odległości ), zysk anteny min 2,15 </w:t>
            </w:r>
            <w:proofErr w:type="spellStart"/>
            <w:r w:rsidRPr="004561CF">
              <w:t>dBi</w:t>
            </w:r>
            <w:proofErr w:type="spellEnd"/>
            <w:r w:rsidRPr="004561CF">
              <w:t xml:space="preserve">, przystosowana i dostrojona do pracy w paśmie 149 MHz, wykres z pomiaru współczynnika fali stojącej (WFS) wykonanego po montażu anteny. Współczynnik fali stojącej kanału ogólnopolskiego PSP (B028) dla wykonanej instalacji antenowej nie większy niż 1,5.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Miejsce montażu radiotelefonu wraz z osprzętem należy uzgodnić z zamawiającym w trakcie realizacji zamówienia. Wszystkie podzespoły zestawu jednego producenta lub równoważne zaakceptowane przez producenta oferowanego radiotelefonu z wyjątkiem anteny. Zamawiający wyraża zgodę na zaoferowanie radiotelefonów nie posiadających przycisku „w innym wyróżniającym się kolorze”, a umożliwiających wyróżnienia przycisku alarmowego pomarańczowym oznaczeniem na wyświetlaczu radiotelefonu bezpośrednio nad tym przyciskiem. Radiotelefon musi się automatycznie włączać/wyłączać wraz z uruchomieniem i zgaszeniem silnika pojazdu. Radiotelefon podłączony w taki sposób aby możliwe było jego włączenie również po wyłączeniu zapłonu w pojeździe i wyjęciu kluczyka. </w:t>
            </w:r>
          </w:p>
          <w:p w14:paraId="43055DF4" w14:textId="77777777" w:rsidR="004561CF" w:rsidRPr="004561CF" w:rsidRDefault="004561CF" w:rsidP="004561CF">
            <w:pPr>
              <w:pStyle w:val="Standard"/>
              <w:jc w:val="both"/>
            </w:pPr>
            <w:r w:rsidRPr="004561CF">
              <w:t>Ukompletowanie zestawu:</w:t>
            </w:r>
          </w:p>
          <w:p w14:paraId="3FF22F49" w14:textId="77777777" w:rsidR="004561CF" w:rsidRPr="004561CF" w:rsidRDefault="004561CF" w:rsidP="004561CF">
            <w:pPr>
              <w:pStyle w:val="Standard"/>
              <w:numPr>
                <w:ilvl w:val="1"/>
                <w:numId w:val="13"/>
              </w:numPr>
              <w:jc w:val="both"/>
            </w:pPr>
            <w:r w:rsidRPr="004561CF">
              <w:t>zespół N/O,</w:t>
            </w:r>
          </w:p>
          <w:p w14:paraId="490CCE99" w14:textId="77777777" w:rsidR="004561CF" w:rsidRPr="004561CF" w:rsidRDefault="004561CF" w:rsidP="004561CF">
            <w:pPr>
              <w:pStyle w:val="Standard"/>
              <w:numPr>
                <w:ilvl w:val="1"/>
                <w:numId w:val="13"/>
              </w:numPr>
              <w:jc w:val="both"/>
            </w:pPr>
            <w:r w:rsidRPr="004561CF">
              <w:t>podstawa montażowa,</w:t>
            </w:r>
          </w:p>
          <w:p w14:paraId="0B5E9D93" w14:textId="77777777" w:rsidR="004561CF" w:rsidRPr="004561CF" w:rsidRDefault="004561CF" w:rsidP="004561CF">
            <w:pPr>
              <w:pStyle w:val="Standard"/>
              <w:numPr>
                <w:ilvl w:val="1"/>
                <w:numId w:val="13"/>
              </w:numPr>
              <w:jc w:val="both"/>
            </w:pPr>
            <w:r w:rsidRPr="004561CF">
              <w:t>mikrofon,</w:t>
            </w:r>
          </w:p>
          <w:p w14:paraId="47CFC9A6" w14:textId="77777777" w:rsidR="004561CF" w:rsidRPr="004561CF" w:rsidRDefault="004561CF" w:rsidP="004561CF">
            <w:pPr>
              <w:pStyle w:val="Standard"/>
              <w:numPr>
                <w:ilvl w:val="1"/>
                <w:numId w:val="13"/>
              </w:numPr>
              <w:jc w:val="both"/>
            </w:pPr>
            <w:r w:rsidRPr="004561CF">
              <w:t>antena 1/4 fali,</w:t>
            </w:r>
          </w:p>
          <w:p w14:paraId="0977B675" w14:textId="77777777" w:rsidR="004561CF" w:rsidRPr="004561CF" w:rsidRDefault="004561CF" w:rsidP="004561CF">
            <w:pPr>
              <w:pStyle w:val="Standard"/>
              <w:numPr>
                <w:ilvl w:val="1"/>
                <w:numId w:val="13"/>
              </w:numPr>
              <w:jc w:val="both"/>
            </w:pPr>
            <w:r w:rsidRPr="004561CF">
              <w:t>swobodny dostęp do złącza antenowego radiotelefonu w celu wykonywania okresowych pomiarów instalacji antenowej,</w:t>
            </w:r>
          </w:p>
          <w:p w14:paraId="509F4F1D" w14:textId="77777777" w:rsidR="004561CF" w:rsidRPr="004561CF" w:rsidRDefault="004561CF" w:rsidP="004561CF">
            <w:pPr>
              <w:pStyle w:val="Standard"/>
              <w:numPr>
                <w:ilvl w:val="1"/>
                <w:numId w:val="13"/>
              </w:numPr>
              <w:jc w:val="both"/>
            </w:pPr>
            <w:r w:rsidRPr="004561CF">
              <w:t>wykres z pomiaru współczynnika fali stojącej zainstalowanej anteny dostarczony w dniu odbioru techniczno-jakościowego pojazdu,</w:t>
            </w:r>
          </w:p>
          <w:p w14:paraId="0AAAF69C" w14:textId="77777777" w:rsidR="004561CF" w:rsidRPr="004561CF" w:rsidRDefault="004561CF" w:rsidP="004561CF">
            <w:pPr>
              <w:pStyle w:val="Standard"/>
              <w:numPr>
                <w:ilvl w:val="1"/>
                <w:numId w:val="13"/>
              </w:numPr>
              <w:jc w:val="both"/>
            </w:pPr>
            <w:r w:rsidRPr="004561CF">
              <w:t xml:space="preserve">komplet dokumentacji montażowej i obsługowej w języku polskim dla użytkownika radiotelefonu, </w:t>
            </w:r>
          </w:p>
          <w:p w14:paraId="5BC387CD" w14:textId="77777777" w:rsidR="004561CF" w:rsidRPr="004561CF" w:rsidRDefault="004561CF" w:rsidP="004561CF">
            <w:pPr>
              <w:pStyle w:val="Standard"/>
              <w:jc w:val="both"/>
            </w:pPr>
            <w:r w:rsidRPr="004561CF">
              <w:t xml:space="preserve">Elektroniczne wyposażenie seryjne oraz dodatkowe montowane przez Dostawcę, nie może zakłócać i negatywnie wpływać na pracę urządzeń </w:t>
            </w:r>
            <w:r w:rsidRPr="004561CF">
              <w:lastRenderedPageBreak/>
              <w:t xml:space="preserve">radiowych pasma UKF zamontowanych w pojeździe. Wszystkie te elementy muszą być zgodne ze środowiskiem elektromagnetycznym "EMC" </w:t>
            </w:r>
          </w:p>
          <w:p w14:paraId="60D29C68" w14:textId="773DA819" w:rsidR="004561CF" w:rsidRDefault="004561CF" w:rsidP="004561CF">
            <w:pPr>
              <w:pStyle w:val="Standard"/>
              <w:snapToGrid w:val="0"/>
              <w:jc w:val="both"/>
            </w:pPr>
            <w:r w:rsidRPr="004561CF">
              <w:t xml:space="preserve">Nie dopuszcza się wykonania instalacji przyłączeniowej radiotelefonu po zewnętrznym poszyciu deski rozdzielczej. </w:t>
            </w:r>
          </w:p>
          <w:p w14:paraId="6C0A53DE" w14:textId="0C6A0843" w:rsidR="00BB4DEA" w:rsidRDefault="00BB4DEA" w:rsidP="004561CF">
            <w:pPr>
              <w:pStyle w:val="Standard"/>
              <w:numPr>
                <w:ilvl w:val="0"/>
                <w:numId w:val="1"/>
              </w:numPr>
              <w:snapToGrid w:val="0"/>
              <w:jc w:val="both"/>
            </w:pPr>
          </w:p>
        </w:tc>
      </w:tr>
      <w:tr w:rsidR="00BB4DEA" w14:paraId="36250F23"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561DBAD0" w14:textId="77777777" w:rsidR="00BB4DEA" w:rsidRDefault="00BB4DEA">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4D94AF3A" w14:textId="4F218C7D" w:rsidR="00BB4DEA" w:rsidRPr="00A67878" w:rsidRDefault="00BB4DEA" w:rsidP="004561CF">
            <w:pPr>
              <w:pStyle w:val="TableContents"/>
              <w:snapToGrid w:val="0"/>
              <w:jc w:val="both"/>
              <w:rPr>
                <w:lang w:eastAsia="pl-PL"/>
              </w:rPr>
            </w:pPr>
            <w:r>
              <w:rPr>
                <w:color w:val="000000"/>
                <w:lang w:eastAsia="pl-PL"/>
              </w:rPr>
              <w:t xml:space="preserve">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w:t>
            </w:r>
            <w:r w:rsidRPr="00A67878">
              <w:rPr>
                <w:lang w:eastAsia="pl-PL"/>
              </w:rPr>
              <w:t>(</w:t>
            </w:r>
            <w:r w:rsidR="00EB3281" w:rsidRPr="00EB3281">
              <w:rPr>
                <w:rFonts w:cs="Arial"/>
                <w:lang w:eastAsia="pl-PL"/>
              </w:rPr>
              <w:t>t. j. Dz. U. z 2024 r., poz. 502, z późniejszymi zmianami</w:t>
            </w:r>
            <w:r w:rsidRPr="00A67878">
              <w:rPr>
                <w:lang w:eastAsia="pl-PL"/>
              </w:rPr>
              <w:t>) oraz być wyposażony w:</w:t>
            </w:r>
          </w:p>
          <w:p w14:paraId="5C1332F6" w14:textId="77777777" w:rsidR="00BB4DEA" w:rsidRDefault="00BB4DEA" w:rsidP="004561CF">
            <w:pPr>
              <w:pStyle w:val="TableContents"/>
              <w:numPr>
                <w:ilvl w:val="0"/>
                <w:numId w:val="10"/>
              </w:numPr>
              <w:snapToGrid w:val="0"/>
              <w:jc w:val="both"/>
              <w:rPr>
                <w:color w:val="000000"/>
                <w:lang w:eastAsia="pl-PL"/>
              </w:rPr>
            </w:pPr>
            <w:r>
              <w:rPr>
                <w:color w:val="000000"/>
                <w:lang w:eastAsia="pl-PL"/>
              </w:rPr>
              <w:t xml:space="preserve">Urządzenie akustyczne pojazdu uprzywilejowanego umożliwiające uruchomienie sygnalizacji akustycznej oraz umożliwiające podawanie komunikatów słownych składającej się co najmniej z następujących elementów:  </w:t>
            </w:r>
          </w:p>
          <w:p w14:paraId="679700F9" w14:textId="4DAA547F" w:rsidR="00BB4DEA" w:rsidRPr="003167B5" w:rsidRDefault="00BB4DEA" w:rsidP="004561CF">
            <w:pPr>
              <w:pStyle w:val="TableContents"/>
              <w:numPr>
                <w:ilvl w:val="0"/>
                <w:numId w:val="9"/>
              </w:numPr>
              <w:snapToGrid w:val="0"/>
              <w:jc w:val="both"/>
              <w:rPr>
                <w:color w:val="000000"/>
                <w:lang w:eastAsia="pl-PL"/>
              </w:rPr>
            </w:pPr>
            <w:r>
              <w:rPr>
                <w:color w:val="000000"/>
                <w:lang w:eastAsia="pl-PL"/>
              </w:rPr>
              <w:t xml:space="preserve">Wzmacniacza sygnałowego (modulatora) o mocy wyjściowej min. 100 W z min. 3 modulowanymi sygnałami dwutonowymi z możliwością sterowania sygnałem klaksonu. Urządzenie wzmacniacza sygnałowego zostanie zamontowane pod deską rozdzielczą i sterowaniem wyniesionym za pomocą przewodu o długości </w:t>
            </w:r>
            <w:r w:rsidR="00EB3281" w:rsidRPr="00EB3281">
              <w:rPr>
                <w:color w:val="000000"/>
                <w:lang w:eastAsia="pl-PL"/>
              </w:rPr>
              <w:t>przewodu zapewniając</w:t>
            </w:r>
            <w:r w:rsidR="00A421B5">
              <w:rPr>
                <w:color w:val="000000"/>
                <w:lang w:eastAsia="pl-PL"/>
              </w:rPr>
              <w:t>ej</w:t>
            </w:r>
            <w:r w:rsidR="00EB3281" w:rsidRPr="00EB3281">
              <w:rPr>
                <w:color w:val="000000"/>
                <w:lang w:eastAsia="pl-PL"/>
              </w:rPr>
              <w:t xml:space="preserve"> swobodną obsługę przez kierowcę i pasażerów</w:t>
            </w:r>
            <w:r w:rsidR="00EB3281">
              <w:rPr>
                <w:color w:val="000000"/>
                <w:lang w:eastAsia="pl-PL"/>
              </w:rPr>
              <w:t xml:space="preserve"> </w:t>
            </w:r>
            <w:r>
              <w:rPr>
                <w:color w:val="000000"/>
                <w:lang w:eastAsia="pl-PL"/>
              </w:rPr>
              <w:t>na manipulator. Urządzenie będzie kompatybilne z głośnikami o impedancji znamionowej 11</w:t>
            </w:r>
            <w:r>
              <w:t xml:space="preserve"> </w:t>
            </w:r>
            <w:r w:rsidRPr="00F07C80">
              <w:rPr>
                <w:color w:val="000000"/>
                <w:lang w:eastAsia="pl-PL"/>
              </w:rPr>
              <w:t>Ω</w:t>
            </w:r>
            <w:r>
              <w:rPr>
                <w:color w:val="000000"/>
                <w:lang w:eastAsia="pl-PL"/>
              </w:rPr>
              <w:t>.</w:t>
            </w:r>
          </w:p>
          <w:p w14:paraId="270D4918" w14:textId="1B46A214" w:rsidR="00BB4DEA" w:rsidRPr="003167B5" w:rsidRDefault="00BB4DEA" w:rsidP="004561CF">
            <w:pPr>
              <w:pStyle w:val="TableContents"/>
              <w:numPr>
                <w:ilvl w:val="0"/>
                <w:numId w:val="9"/>
              </w:numPr>
              <w:snapToGrid w:val="0"/>
              <w:jc w:val="both"/>
              <w:rPr>
                <w:color w:val="000000"/>
                <w:lang w:eastAsia="pl-PL"/>
              </w:rPr>
            </w:pPr>
            <w:r>
              <w:rPr>
                <w:color w:val="000000"/>
                <w:lang w:eastAsia="pl-PL"/>
              </w:rPr>
              <w:t>Jednego lub dwóch neodymowych głośników kompaktowych o mocy min. 100 W każdy zapewniających ekwiwalentny poziom ciśnienia akustycznego min.</w:t>
            </w:r>
            <w:r w:rsidR="000031DC">
              <w:rPr>
                <w:color w:val="000000"/>
                <w:lang w:eastAsia="pl-PL"/>
              </w:rPr>
              <w:t xml:space="preserve"> </w:t>
            </w:r>
            <w:r>
              <w:rPr>
                <w:color w:val="000000"/>
                <w:lang w:eastAsia="pl-PL"/>
              </w:rPr>
              <w:t xml:space="preserve">100 </w:t>
            </w:r>
            <w:proofErr w:type="spellStart"/>
            <w:r>
              <w:rPr>
                <w:color w:val="000000"/>
                <w:lang w:eastAsia="pl-PL"/>
              </w:rPr>
              <w:t>dB</w:t>
            </w:r>
            <w:proofErr w:type="spellEnd"/>
            <w:r>
              <w:rPr>
                <w:color w:val="000000"/>
                <w:lang w:eastAsia="pl-PL"/>
              </w:rPr>
              <w:t>.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43B9E221" w14:textId="55177226" w:rsidR="00BB4DEA" w:rsidRDefault="00BB4DEA" w:rsidP="004561CF">
            <w:pPr>
              <w:pStyle w:val="TableContents"/>
              <w:numPr>
                <w:ilvl w:val="0"/>
                <w:numId w:val="10"/>
              </w:numPr>
              <w:snapToGrid w:val="0"/>
              <w:jc w:val="both"/>
              <w:rPr>
                <w:color w:val="000000"/>
                <w:lang w:eastAsia="pl-PL"/>
              </w:rPr>
            </w:pPr>
            <w:r>
              <w:rPr>
                <w:color w:val="000000"/>
                <w:lang w:eastAsia="pl-PL"/>
              </w:rPr>
              <w:t>W atrapie przedniej zamontowane 2 moduły lamp kierunkowych stroboskopowych  LED</w:t>
            </w:r>
            <w:r>
              <w:rPr>
                <w:color w:val="000000"/>
                <w:lang w:eastAsia="pl-PL"/>
              </w:rPr>
              <w:br/>
              <w:t xml:space="preserve">z kloszem bezbarwnym o świetle </w:t>
            </w:r>
            <w:r>
              <w:t>niebieskim</w:t>
            </w:r>
            <w:r>
              <w:rPr>
                <w:color w:val="000000"/>
                <w:lang w:eastAsia="pl-PL"/>
              </w:rPr>
              <w:t xml:space="preserve">. Układ sterowania (podłączenie) modułami musi zapewnić możliwość włączenia samej sygnalizacji świetlnej (bez sygnalizacji dźwiękowej) oraz działanie sygnalizacji świetlnej musi być możliwe również przy wyjętym kluczyku ze stacyjki pojazdu. </w:t>
            </w:r>
          </w:p>
          <w:p w14:paraId="42E8626A" w14:textId="5DE5AECF" w:rsidR="00BB4DEA" w:rsidRPr="006F2CB0" w:rsidRDefault="003E3AEC" w:rsidP="004561CF">
            <w:pPr>
              <w:pStyle w:val="TableContents"/>
              <w:numPr>
                <w:ilvl w:val="0"/>
                <w:numId w:val="10"/>
              </w:numPr>
              <w:snapToGrid w:val="0"/>
              <w:jc w:val="both"/>
              <w:rPr>
                <w:color w:val="000000"/>
                <w:lang w:eastAsia="pl-PL"/>
              </w:rPr>
            </w:pPr>
            <w:r>
              <w:rPr>
                <w:color w:val="000000"/>
              </w:rPr>
              <w:t>N</w:t>
            </w:r>
            <w:r w:rsidR="00EB3281" w:rsidRPr="00EB3281">
              <w:rPr>
                <w:color w:val="000000"/>
              </w:rPr>
              <w:t>a wyposażeniu samochodu lampa pojedyncza stroboskopowa LED z mocowaniem magnetycznym do mocowania na dachu pojazdu. Napięcie zasilania 12V. Źródło światła: min. 12 diod LED, kolor niebieski. Wymiary lampy: wysokość: max. 70 mm, średnica: min. 150 mm. Klosz lampy transparentny. Podłączana do gniazda 12V. Przewód lampy wzmocniony o długości min. 2500 mm. Lampa musi spełniać wymagania R65 EKG/ONZ – klasa 2 (lub równoważne)</w:t>
            </w:r>
            <w:r w:rsidR="00BB4DEA">
              <w:rPr>
                <w:color w:val="000000"/>
                <w:lang w:eastAsia="pl-PL"/>
              </w:rPr>
              <w:t xml:space="preserve">. </w:t>
            </w:r>
          </w:p>
          <w:p w14:paraId="4D24DF9C" w14:textId="77777777" w:rsidR="00BB4DEA" w:rsidRDefault="00BB4DEA" w:rsidP="004561CF">
            <w:pPr>
              <w:pStyle w:val="Bezodstpw"/>
              <w:numPr>
                <w:ilvl w:val="0"/>
                <w:numId w:val="10"/>
              </w:numPr>
              <w:jc w:val="both"/>
              <w:rPr>
                <w:rFonts w:eastAsia="Droid Sans"/>
                <w:kern w:val="3"/>
                <w:lang w:eastAsia="zh-CN" w:bidi="hi-IN"/>
              </w:rPr>
            </w:pPr>
            <w:r w:rsidRPr="00AE3D33">
              <w:t xml:space="preserve">Całość oświetlenia pojazdu uprzywilejowanego musi spełniać wymagania </w:t>
            </w:r>
            <w:r w:rsidRPr="00AE3D33">
              <w:rPr>
                <w:rFonts w:eastAsia="Droid Sans"/>
                <w:kern w:val="3"/>
                <w:lang w:eastAsia="zh-CN" w:bidi="hi-IN"/>
              </w:rPr>
              <w:t>R65 EKG</w:t>
            </w:r>
            <w:r>
              <w:rPr>
                <w:rFonts w:eastAsia="Droid Sans"/>
                <w:kern w:val="3"/>
                <w:lang w:eastAsia="zh-CN" w:bidi="hi-IN"/>
              </w:rPr>
              <w:t>/ONZ – klasa 2 (lub równoważne).</w:t>
            </w:r>
          </w:p>
          <w:p w14:paraId="7BF1338D" w14:textId="2B17DB82" w:rsidR="00EB3281" w:rsidRDefault="00EB3281" w:rsidP="004561CF">
            <w:pPr>
              <w:pStyle w:val="Bezodstpw"/>
              <w:numPr>
                <w:ilvl w:val="0"/>
                <w:numId w:val="10"/>
              </w:numPr>
              <w:jc w:val="both"/>
              <w:rPr>
                <w:rFonts w:eastAsia="Droid Sans"/>
                <w:kern w:val="3"/>
                <w:lang w:eastAsia="zh-CN" w:bidi="hi-IN"/>
              </w:rPr>
            </w:pPr>
            <w:r w:rsidRPr="00EB3281">
              <w:rPr>
                <w:rFonts w:eastAsia="Droid Sans"/>
                <w:kern w:val="3"/>
                <w:lang w:eastAsia="zh-CN" w:bidi="hi-IN"/>
              </w:rPr>
              <w:t>W pojeździe musi być możliwość odłączenia zasilania całości wyposażenia sygnalizacji uprzywilejowanej za pomocą przycisku umieszczonego w kabinie przy siedzeniu kierowcy</w:t>
            </w:r>
            <w:r>
              <w:rPr>
                <w:rFonts w:eastAsia="Droid Sans"/>
                <w:kern w:val="3"/>
                <w:lang w:eastAsia="zh-CN" w:bidi="hi-IN"/>
              </w:rPr>
              <w:t>.</w:t>
            </w:r>
          </w:p>
          <w:p w14:paraId="1AA3326D" w14:textId="77777777" w:rsidR="00BB4DEA" w:rsidRDefault="00BB4DEA" w:rsidP="004561CF">
            <w:pPr>
              <w:pStyle w:val="Bezodstpw"/>
              <w:numPr>
                <w:ilvl w:val="0"/>
                <w:numId w:val="10"/>
              </w:numPr>
              <w:jc w:val="both"/>
              <w:rPr>
                <w:rFonts w:eastAsia="Droid Sans"/>
                <w:kern w:val="3"/>
                <w:lang w:eastAsia="zh-CN" w:bidi="hi-IN"/>
              </w:rPr>
            </w:pPr>
            <w:r>
              <w:rPr>
                <w:rFonts w:eastAsia="Droid Sans"/>
                <w:kern w:val="3"/>
                <w:lang w:eastAsia="zh-CN" w:bidi="hi-IN"/>
              </w:rPr>
              <w:t>Pas wyróżniający barwy czerwieni sygnałowej wokół pojazdu wykonany z taśmy min. klasy C.</w:t>
            </w:r>
          </w:p>
          <w:p w14:paraId="01D22F68" w14:textId="389E3F0C" w:rsidR="00BB4DEA" w:rsidRDefault="00BB4DEA" w:rsidP="004561CF">
            <w:pPr>
              <w:pStyle w:val="Bezodstpw"/>
              <w:numPr>
                <w:ilvl w:val="0"/>
                <w:numId w:val="10"/>
              </w:numPr>
              <w:jc w:val="both"/>
              <w:rPr>
                <w:rFonts w:eastAsia="Droid Sans"/>
                <w:kern w:val="3"/>
                <w:lang w:eastAsia="zh-CN" w:bidi="hi-IN"/>
              </w:rPr>
            </w:pPr>
            <w:r>
              <w:rPr>
                <w:rFonts w:eastAsia="Droid Sans"/>
                <w:kern w:val="3"/>
                <w:lang w:eastAsia="zh-CN" w:bidi="hi-IN"/>
              </w:rPr>
              <w:t>Napis „STRAŻ” umieszczony po obu bokach pojazdu na pasie wyróżniającym w kolorze białym(odblaskowym).</w:t>
            </w:r>
          </w:p>
          <w:p w14:paraId="777157E8" w14:textId="1E957C40" w:rsidR="00BB4DEA" w:rsidRDefault="00BB4DEA" w:rsidP="004561CF">
            <w:pPr>
              <w:pStyle w:val="Bezodstpw"/>
              <w:ind w:left="360"/>
              <w:jc w:val="both"/>
              <w:rPr>
                <w:rFonts w:eastAsia="Droid Sans"/>
                <w:lang w:eastAsia="zh-CN" w:bidi="hi-IN"/>
              </w:rPr>
            </w:pPr>
            <w:r>
              <w:rPr>
                <w:rFonts w:eastAsia="Droid Sans"/>
                <w:kern w:val="3"/>
                <w:lang w:eastAsia="zh-CN" w:bidi="hi-IN"/>
              </w:rPr>
              <w:t>Urządzenia uprzywilejowania oraz pozostałe urządzenia fabryczne samochodu nie mogą powodować zakłóceń urządzeń łączności radiowej o której mowa w punkcie 4.2</w:t>
            </w:r>
            <w:r w:rsidR="003E3AEC">
              <w:rPr>
                <w:rFonts w:eastAsia="Droid Sans"/>
                <w:kern w:val="3"/>
                <w:lang w:eastAsia="zh-CN" w:bidi="hi-IN"/>
              </w:rPr>
              <w:t>4</w:t>
            </w:r>
            <w:r>
              <w:rPr>
                <w:rFonts w:eastAsia="Droid Sans"/>
                <w:kern w:val="3"/>
                <w:lang w:eastAsia="zh-CN" w:bidi="hi-IN"/>
              </w:rPr>
              <w:t>.</w:t>
            </w:r>
          </w:p>
        </w:tc>
      </w:tr>
      <w:tr w:rsidR="004561CF" w14:paraId="5D6D8517" w14:textId="77777777" w:rsidTr="00BB4DEA">
        <w:tc>
          <w:tcPr>
            <w:tcW w:w="846" w:type="dxa"/>
            <w:tcBorders>
              <w:top w:val="single" w:sz="4" w:space="0" w:color="000001"/>
              <w:left w:val="single" w:sz="4" w:space="0" w:color="000001"/>
              <w:bottom w:val="single" w:sz="4" w:space="0" w:color="000001"/>
            </w:tcBorders>
            <w:shd w:val="clear" w:color="auto" w:fill="auto"/>
            <w:tcMar>
              <w:left w:w="98" w:type="dxa"/>
            </w:tcMar>
          </w:tcPr>
          <w:p w14:paraId="2DC33EA5" w14:textId="77777777" w:rsidR="004561CF" w:rsidRDefault="004561CF">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7DAC6011" w14:textId="77777777" w:rsidR="000031DC" w:rsidRDefault="000031DC" w:rsidP="004561CF">
            <w:pPr>
              <w:pStyle w:val="TableContents"/>
              <w:snapToGrid w:val="0"/>
              <w:jc w:val="both"/>
              <w:rPr>
                <w:b/>
                <w:bCs/>
                <w:color w:val="000000"/>
                <w:lang w:eastAsia="pl-PL"/>
              </w:rPr>
            </w:pPr>
          </w:p>
          <w:p w14:paraId="0C483F8E" w14:textId="58EE719F" w:rsidR="000031DC" w:rsidRDefault="004561CF" w:rsidP="004561CF">
            <w:pPr>
              <w:pStyle w:val="TableContents"/>
              <w:snapToGrid w:val="0"/>
              <w:jc w:val="both"/>
              <w:rPr>
                <w:b/>
                <w:bCs/>
                <w:color w:val="000000"/>
                <w:lang w:eastAsia="pl-PL"/>
              </w:rPr>
            </w:pPr>
            <w:r w:rsidRPr="004561CF">
              <w:rPr>
                <w:b/>
                <w:bCs/>
                <w:color w:val="000000"/>
                <w:lang w:eastAsia="pl-PL"/>
              </w:rPr>
              <w:t>Sposób i miejsce montażu wyposażenia kabiny (radiotelefon, manipulator sygnalizacji akustycznej i świetlnej) oraz oświetlenia uprzywilejowanego należy ustalić z Zamawiającym w fazie realizacji zamówienia na etapie inspekcji produkcyjnej.</w:t>
            </w:r>
          </w:p>
          <w:p w14:paraId="364703E7" w14:textId="4D97AAD5" w:rsidR="000031DC" w:rsidRDefault="000031DC" w:rsidP="004561CF">
            <w:pPr>
              <w:pStyle w:val="TableContents"/>
              <w:snapToGrid w:val="0"/>
              <w:jc w:val="both"/>
              <w:rPr>
                <w:color w:val="000000"/>
                <w:lang w:eastAsia="pl-PL"/>
              </w:rPr>
            </w:pPr>
          </w:p>
        </w:tc>
      </w:tr>
      <w:tr w:rsidR="00BB4DEA" w14:paraId="71F6A484" w14:textId="77777777" w:rsidTr="00BB4DEA">
        <w:tc>
          <w:tcPr>
            <w:tcW w:w="846" w:type="dxa"/>
            <w:tcBorders>
              <w:top w:val="single" w:sz="4" w:space="0" w:color="000001"/>
              <w:left w:val="single" w:sz="4" w:space="0" w:color="000001"/>
              <w:bottom w:val="single" w:sz="4" w:space="0" w:color="000001"/>
            </w:tcBorders>
            <w:shd w:val="clear" w:color="auto" w:fill="C0C0C0"/>
            <w:tcMar>
              <w:left w:w="98" w:type="dxa"/>
            </w:tcMar>
          </w:tcPr>
          <w:p w14:paraId="3DA0D1CA" w14:textId="77777777" w:rsidR="00BB4DEA" w:rsidRDefault="00BB4DEA">
            <w:pPr>
              <w:pStyle w:val="Standard"/>
              <w:numPr>
                <w:ilvl w:val="0"/>
                <w:numId w:val="2"/>
              </w:numPr>
              <w:snapToGrid w:val="0"/>
              <w:rPr>
                <w:color w:val="000000"/>
              </w:rPr>
            </w:pPr>
          </w:p>
        </w:tc>
        <w:tc>
          <w:tcPr>
            <w:tcW w:w="1417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5D9D0C4C" w14:textId="77777777" w:rsidR="00BB4DEA" w:rsidRPr="004561CF" w:rsidRDefault="00BB4DEA" w:rsidP="004561CF">
            <w:pPr>
              <w:pStyle w:val="Standard"/>
              <w:snapToGrid w:val="0"/>
              <w:jc w:val="center"/>
              <w:rPr>
                <w:b/>
                <w:bCs/>
              </w:rPr>
            </w:pPr>
            <w:r w:rsidRPr="004561CF">
              <w:rPr>
                <w:b/>
                <w:bCs/>
              </w:rPr>
              <w:t>Pozostałe warunki zamawiającego</w:t>
            </w:r>
          </w:p>
        </w:tc>
      </w:tr>
      <w:tr w:rsidR="00BB4DEA" w14:paraId="3A962115" w14:textId="77777777" w:rsidTr="00BB4DEA">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2C36E28A" w14:textId="77777777" w:rsidR="00BB4DEA" w:rsidRDefault="00BB4DEA" w:rsidP="006B1853">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09D8772" w14:textId="00666162" w:rsidR="00BB4DEA" w:rsidRDefault="00BB4DEA" w:rsidP="004561CF">
            <w:pPr>
              <w:pStyle w:val="Standard"/>
              <w:jc w:val="both"/>
            </w:pPr>
            <w:r w:rsidRPr="000044AC">
              <w:rPr>
                <w:color w:val="000000" w:themeColor="text1"/>
              </w:rPr>
              <w:t>Okres gwarancji minimum 24 miesiące</w:t>
            </w:r>
          </w:p>
        </w:tc>
      </w:tr>
      <w:tr w:rsidR="00BB4DEA" w14:paraId="41C18997" w14:textId="77777777" w:rsidTr="00BB4DEA">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6C9B4C6C" w14:textId="77777777" w:rsidR="00BB4DEA" w:rsidRDefault="00BB4DEA" w:rsidP="006B1853">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BA88D95" w14:textId="77777777" w:rsidR="00BE16AC" w:rsidRPr="001F34D0" w:rsidRDefault="00BE16AC" w:rsidP="00BE16AC">
            <w:pPr>
              <w:pStyle w:val="Standard"/>
            </w:pPr>
            <w:r w:rsidRPr="001F34D0">
              <w:t xml:space="preserve">Wykonawca </w:t>
            </w:r>
            <w:r>
              <w:t>z</w:t>
            </w:r>
            <w:r w:rsidRPr="001F34D0">
              <w:t>obowiązany jest do dostarczenia wraz z samochodem:</w:t>
            </w:r>
          </w:p>
          <w:p w14:paraId="6C4C6B63" w14:textId="77777777" w:rsidR="00BE16AC" w:rsidRPr="001F34D0" w:rsidRDefault="00BE16AC" w:rsidP="00BE16AC">
            <w:pPr>
              <w:pStyle w:val="Standard"/>
            </w:pPr>
            <w:r w:rsidRPr="001F34D0">
              <w:t>- instrukcji obsługi, książki serwisowej/gwarancyjnej do samochodu w języku polskim,</w:t>
            </w:r>
          </w:p>
          <w:p w14:paraId="4AC0A223" w14:textId="77777777" w:rsidR="00BE16AC" w:rsidRPr="001F34D0" w:rsidRDefault="00BE16AC" w:rsidP="00BE16AC">
            <w:pPr>
              <w:pStyle w:val="Standard"/>
            </w:pPr>
            <w:r w:rsidRPr="001F34D0">
              <w:t>- dokumentacji niezbędnej do zarejestrowania samochodu w Wydziale Komunikacji,</w:t>
            </w:r>
          </w:p>
          <w:p w14:paraId="1CCFC3A6" w14:textId="5B18E537" w:rsidR="00BB4DEA" w:rsidRDefault="00BE16AC" w:rsidP="00BE16AC">
            <w:pPr>
              <w:pStyle w:val="Standard"/>
              <w:jc w:val="both"/>
            </w:pPr>
            <w:r w:rsidRPr="001F34D0">
              <w:t>- na dzień odbioru faktycznego dokument</w:t>
            </w:r>
            <w:r>
              <w:t>u</w:t>
            </w:r>
            <w:r w:rsidRPr="001F34D0">
              <w:t xml:space="preserve"> potwierdzając</w:t>
            </w:r>
            <w:r>
              <w:t>ego</w:t>
            </w:r>
            <w:r w:rsidRPr="001F34D0">
              <w:t xml:space="preserve"> aktualnie posiadane badanie techniczne w zakresie pojazdu uprzywilejowanego. </w:t>
            </w:r>
          </w:p>
        </w:tc>
      </w:tr>
      <w:tr w:rsidR="00195483" w14:paraId="0F4E584D" w14:textId="77777777" w:rsidTr="00BB4DEA">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75C8E7E1" w14:textId="77777777" w:rsidR="00195483" w:rsidRDefault="00195483" w:rsidP="006B1853">
            <w:pPr>
              <w:pStyle w:val="Standard"/>
              <w:numPr>
                <w:ilvl w:val="1"/>
                <w:numId w:val="2"/>
              </w:numPr>
              <w:snapToGrid w:val="0"/>
            </w:pPr>
          </w:p>
        </w:tc>
        <w:tc>
          <w:tcPr>
            <w:tcW w:w="1417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7749A40" w14:textId="30737FA2" w:rsidR="00195483" w:rsidRDefault="001810CE" w:rsidP="004561CF">
            <w:pPr>
              <w:pStyle w:val="Standard"/>
              <w:jc w:val="both"/>
            </w:pPr>
            <w:r w:rsidRPr="001810CE">
              <w:t>Wykonawca wyda przedmiot umowy z pełnymi zbiornikami paliwa i płynów eksploatacyjnych.</w:t>
            </w:r>
          </w:p>
        </w:tc>
      </w:tr>
    </w:tbl>
    <w:p w14:paraId="41D18B02" w14:textId="77777777" w:rsidR="009D6A6A" w:rsidRDefault="009D6A6A">
      <w:pPr>
        <w:pStyle w:val="Standard"/>
        <w:tabs>
          <w:tab w:val="left" w:pos="284"/>
        </w:tabs>
        <w:spacing w:after="60"/>
      </w:pPr>
    </w:p>
    <w:sectPr w:rsidR="009D6A6A">
      <w:headerReference w:type="default" r:id="rId12"/>
      <w:footerReference w:type="default" r:id="rId13"/>
      <w:pgSz w:w="16838" w:h="11906" w:orient="landscape"/>
      <w:pgMar w:top="851" w:right="567" w:bottom="993"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870E" w14:textId="77777777" w:rsidR="00C93BBC" w:rsidRDefault="00C93BBC">
      <w:r>
        <w:separator/>
      </w:r>
    </w:p>
  </w:endnote>
  <w:endnote w:type="continuationSeparator" w:id="0">
    <w:p w14:paraId="779F20A6" w14:textId="77777777" w:rsidR="00C93BBC" w:rsidRDefault="00C9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Droid Sans">
    <w:altName w:val="Yu Gothic"/>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05D2" w14:textId="77777777" w:rsidR="000C3222" w:rsidRDefault="005146D2">
    <w:pPr>
      <w:pStyle w:val="Stopka"/>
      <w:jc w:val="right"/>
    </w:pPr>
    <w:r>
      <w:fldChar w:fldCharType="begin"/>
    </w:r>
    <w:r>
      <w:instrText>PAGE</w:instrText>
    </w:r>
    <w:r>
      <w:fldChar w:fldCharType="separate"/>
    </w:r>
    <w:r w:rsidR="00112C36">
      <w:rPr>
        <w:noProof/>
      </w:rPr>
      <w:t>5</w:t>
    </w:r>
    <w:r>
      <w:fldChar w:fldCharType="end"/>
    </w:r>
  </w:p>
  <w:p w14:paraId="28AB0C34" w14:textId="77777777" w:rsidR="000C3222" w:rsidRDefault="000C32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E94B6" w14:textId="77777777" w:rsidR="00C93BBC" w:rsidRDefault="00C93BBC">
      <w:r>
        <w:separator/>
      </w:r>
    </w:p>
  </w:footnote>
  <w:footnote w:type="continuationSeparator" w:id="0">
    <w:p w14:paraId="069C8753" w14:textId="77777777" w:rsidR="00C93BBC" w:rsidRDefault="00C9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442D" w14:textId="77777777" w:rsidR="000C3222" w:rsidRDefault="000C32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7452"/>
    <w:multiLevelType w:val="multilevel"/>
    <w:tmpl w:val="67E09B06"/>
    <w:lvl w:ilvl="0">
      <w:start w:val="1"/>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1080" w:hanging="360"/>
      </w:pPr>
      <w:rPr>
        <w:rFonts w:ascii="Symbol" w:hAnsi="Symbol" w:hint="default"/>
        <w:color w:val="auto"/>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 w15:restartNumberingAfterBreak="0">
    <w:nsid w:val="0D0A7B5A"/>
    <w:multiLevelType w:val="multilevel"/>
    <w:tmpl w:val="DF46198C"/>
    <w:lvl w:ilvl="0">
      <w:start w:val="1"/>
      <w:numFmt w:val="decimal"/>
      <w:lvlText w:val="%1."/>
      <w:lvlJc w:val="left"/>
      <w:pPr>
        <w:ind w:left="-295" w:hanging="360"/>
      </w:pPr>
      <w:rPr>
        <w:b w:val="0"/>
      </w:rPr>
    </w:lvl>
    <w:lvl w:ilvl="1">
      <w:start w:val="1"/>
      <w:numFmt w:val="decimal"/>
      <w:lvlText w:val="%1.%2."/>
      <w:lvlJc w:val="left"/>
      <w:pPr>
        <w:ind w:left="346" w:hanging="720"/>
      </w:pPr>
    </w:lvl>
    <w:lvl w:ilvl="2">
      <w:start w:val="1"/>
      <w:numFmt w:val="decimal"/>
      <w:lvlText w:val="%1.%2.%3."/>
      <w:lvlJc w:val="left"/>
      <w:pPr>
        <w:ind w:left="627" w:hanging="720"/>
      </w:pPr>
    </w:lvl>
    <w:lvl w:ilvl="3">
      <w:start w:val="1"/>
      <w:numFmt w:val="decimal"/>
      <w:lvlText w:val="%1.%2.%3.%4."/>
      <w:lvlJc w:val="left"/>
      <w:pPr>
        <w:ind w:left="1268" w:hanging="1080"/>
      </w:pPr>
    </w:lvl>
    <w:lvl w:ilvl="4">
      <w:start w:val="1"/>
      <w:numFmt w:val="decimal"/>
      <w:lvlText w:val="%1.%2.%3.%4.%5."/>
      <w:lvlJc w:val="left"/>
      <w:pPr>
        <w:ind w:left="1909" w:hanging="1440"/>
      </w:pPr>
    </w:lvl>
    <w:lvl w:ilvl="5">
      <w:start w:val="1"/>
      <w:numFmt w:val="decimal"/>
      <w:lvlText w:val="%1.%2.%3.%4.%5.%6."/>
      <w:lvlJc w:val="left"/>
      <w:pPr>
        <w:ind w:left="2190" w:hanging="1440"/>
      </w:pPr>
    </w:lvl>
    <w:lvl w:ilvl="6">
      <w:start w:val="1"/>
      <w:numFmt w:val="decimal"/>
      <w:lvlText w:val="%1.%2.%3.%4.%5.%6.%7."/>
      <w:lvlJc w:val="left"/>
      <w:pPr>
        <w:ind w:left="2831" w:hanging="1800"/>
      </w:pPr>
    </w:lvl>
    <w:lvl w:ilvl="7">
      <w:start w:val="1"/>
      <w:numFmt w:val="decimal"/>
      <w:lvlText w:val="%1.%2.%3.%4.%5.%6.%7.%8."/>
      <w:lvlJc w:val="left"/>
      <w:pPr>
        <w:ind w:left="3472" w:hanging="2160"/>
      </w:pPr>
    </w:lvl>
    <w:lvl w:ilvl="8">
      <w:start w:val="1"/>
      <w:numFmt w:val="decimal"/>
      <w:lvlText w:val="%1.%2.%3.%4.%5.%6.%7.%8.%9."/>
      <w:lvlJc w:val="left"/>
      <w:pPr>
        <w:ind w:left="3753" w:hanging="2160"/>
      </w:pPr>
    </w:lvl>
  </w:abstractNum>
  <w:abstractNum w:abstractNumId="2"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8442218">
    <w:abstractNumId w:val="1"/>
  </w:num>
  <w:num w:numId="2" w16cid:durableId="1896818767">
    <w:abstractNumId w:val="5"/>
  </w:num>
  <w:num w:numId="3" w16cid:durableId="1470901686">
    <w:abstractNumId w:val="9"/>
  </w:num>
  <w:num w:numId="4" w16cid:durableId="959340882">
    <w:abstractNumId w:val="2"/>
  </w:num>
  <w:num w:numId="5" w16cid:durableId="1754738005">
    <w:abstractNumId w:val="3"/>
  </w:num>
  <w:num w:numId="6" w16cid:durableId="1540046053">
    <w:abstractNumId w:val="10"/>
  </w:num>
  <w:num w:numId="7" w16cid:durableId="900409657">
    <w:abstractNumId w:val="11"/>
  </w:num>
  <w:num w:numId="8" w16cid:durableId="1627002086">
    <w:abstractNumId w:val="7"/>
  </w:num>
  <w:num w:numId="9" w16cid:durableId="1752041541">
    <w:abstractNumId w:val="8"/>
  </w:num>
  <w:num w:numId="10" w16cid:durableId="679161822">
    <w:abstractNumId w:val="6"/>
  </w:num>
  <w:num w:numId="11" w16cid:durableId="1108816871">
    <w:abstractNumId w:val="4"/>
  </w:num>
  <w:num w:numId="12" w16cid:durableId="659314781">
    <w:abstractNumId w:val="12"/>
  </w:num>
  <w:num w:numId="13" w16cid:durableId="38348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222"/>
    <w:rsid w:val="000031DC"/>
    <w:rsid w:val="000044AC"/>
    <w:rsid w:val="00006D43"/>
    <w:rsid w:val="00012F1D"/>
    <w:rsid w:val="00015236"/>
    <w:rsid w:val="0001535F"/>
    <w:rsid w:val="00057F30"/>
    <w:rsid w:val="0006358D"/>
    <w:rsid w:val="000710CF"/>
    <w:rsid w:val="00074AD6"/>
    <w:rsid w:val="00074EC9"/>
    <w:rsid w:val="000C3222"/>
    <w:rsid w:val="001042CF"/>
    <w:rsid w:val="00112C36"/>
    <w:rsid w:val="001810CE"/>
    <w:rsid w:val="00193342"/>
    <w:rsid w:val="00195483"/>
    <w:rsid w:val="001A03C7"/>
    <w:rsid w:val="001A4FF9"/>
    <w:rsid w:val="001B3226"/>
    <w:rsid w:val="001B71A5"/>
    <w:rsid w:val="001D73A7"/>
    <w:rsid w:val="00201AF1"/>
    <w:rsid w:val="00222B75"/>
    <w:rsid w:val="00226870"/>
    <w:rsid w:val="0024144B"/>
    <w:rsid w:val="00242952"/>
    <w:rsid w:val="002461E2"/>
    <w:rsid w:val="00251C3D"/>
    <w:rsid w:val="00263829"/>
    <w:rsid w:val="002958C1"/>
    <w:rsid w:val="002A1E9B"/>
    <w:rsid w:val="002C000A"/>
    <w:rsid w:val="002C5181"/>
    <w:rsid w:val="003157A1"/>
    <w:rsid w:val="0036515F"/>
    <w:rsid w:val="0038149D"/>
    <w:rsid w:val="00396054"/>
    <w:rsid w:val="003B2F1B"/>
    <w:rsid w:val="003E3AEC"/>
    <w:rsid w:val="004163BC"/>
    <w:rsid w:val="0043650D"/>
    <w:rsid w:val="004561CF"/>
    <w:rsid w:val="0048339F"/>
    <w:rsid w:val="004853B6"/>
    <w:rsid w:val="0049335A"/>
    <w:rsid w:val="004D35A7"/>
    <w:rsid w:val="004D76EA"/>
    <w:rsid w:val="005146D2"/>
    <w:rsid w:val="00520AB9"/>
    <w:rsid w:val="00526877"/>
    <w:rsid w:val="00553731"/>
    <w:rsid w:val="00572CCC"/>
    <w:rsid w:val="00580C99"/>
    <w:rsid w:val="00583FC7"/>
    <w:rsid w:val="00590C1C"/>
    <w:rsid w:val="005C38EE"/>
    <w:rsid w:val="005F4320"/>
    <w:rsid w:val="006070FE"/>
    <w:rsid w:val="00675C82"/>
    <w:rsid w:val="006B1853"/>
    <w:rsid w:val="006B5EC5"/>
    <w:rsid w:val="007143A9"/>
    <w:rsid w:val="00714BE4"/>
    <w:rsid w:val="00736901"/>
    <w:rsid w:val="007A180A"/>
    <w:rsid w:val="007B5AD1"/>
    <w:rsid w:val="0088016A"/>
    <w:rsid w:val="008B3885"/>
    <w:rsid w:val="008C739F"/>
    <w:rsid w:val="008E49DD"/>
    <w:rsid w:val="009029DA"/>
    <w:rsid w:val="00923A0E"/>
    <w:rsid w:val="0095636E"/>
    <w:rsid w:val="009779E9"/>
    <w:rsid w:val="009C5261"/>
    <w:rsid w:val="009D6A6A"/>
    <w:rsid w:val="009D7133"/>
    <w:rsid w:val="009E08FF"/>
    <w:rsid w:val="00A02C93"/>
    <w:rsid w:val="00A06146"/>
    <w:rsid w:val="00A421B5"/>
    <w:rsid w:val="00A45FF8"/>
    <w:rsid w:val="00A67878"/>
    <w:rsid w:val="00A71784"/>
    <w:rsid w:val="00A9268A"/>
    <w:rsid w:val="00AB25CC"/>
    <w:rsid w:val="00B013BA"/>
    <w:rsid w:val="00B25FCF"/>
    <w:rsid w:val="00B30EDB"/>
    <w:rsid w:val="00B566FC"/>
    <w:rsid w:val="00B81810"/>
    <w:rsid w:val="00B87146"/>
    <w:rsid w:val="00B94729"/>
    <w:rsid w:val="00BB4DEA"/>
    <w:rsid w:val="00BC21A3"/>
    <w:rsid w:val="00BE16AC"/>
    <w:rsid w:val="00C70784"/>
    <w:rsid w:val="00C93BBC"/>
    <w:rsid w:val="00CA1C09"/>
    <w:rsid w:val="00CC153B"/>
    <w:rsid w:val="00CC30E8"/>
    <w:rsid w:val="00CD47F6"/>
    <w:rsid w:val="00CF0A70"/>
    <w:rsid w:val="00CF7523"/>
    <w:rsid w:val="00D106B7"/>
    <w:rsid w:val="00D53BBF"/>
    <w:rsid w:val="00D556A8"/>
    <w:rsid w:val="00D77FD2"/>
    <w:rsid w:val="00E1539C"/>
    <w:rsid w:val="00E27F5D"/>
    <w:rsid w:val="00E673E9"/>
    <w:rsid w:val="00EA411E"/>
    <w:rsid w:val="00EB3281"/>
    <w:rsid w:val="00EE0108"/>
    <w:rsid w:val="00EE2849"/>
    <w:rsid w:val="00F02DC7"/>
    <w:rsid w:val="00F31457"/>
    <w:rsid w:val="00F37E4B"/>
    <w:rsid w:val="00F4594D"/>
    <w:rsid w:val="00F5549C"/>
    <w:rsid w:val="00F60D2E"/>
    <w:rsid w:val="00F65351"/>
    <w:rsid w:val="00FA753D"/>
    <w:rsid w:val="00FE0153"/>
    <w:rsid w:val="00FE027B"/>
    <w:rsid w:val="00FF34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D4BA"/>
  <w15:docId w15:val="{9E603CE1-12CC-4847-9CEA-5B69946D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keepNext/>
      <w:outlineLvl w:val="0"/>
    </w:pPr>
    <w:rPr>
      <w:b/>
      <w:sz w:val="28"/>
    </w:rPr>
  </w:style>
  <w:style w:type="paragraph" w:styleId="Nagwek2">
    <w:name w:val="heading 2"/>
    <w:basedOn w:val="Normalny"/>
    <w:uiPriority w:val="9"/>
    <w:semiHidden/>
    <w:unhideWhenUsed/>
    <w:qFormat/>
    <w:pPr>
      <w:keepNext/>
      <w:jc w:val="both"/>
      <w:outlineLvl w:val="1"/>
    </w:pPr>
    <w:rPr>
      <w:b/>
      <w:sz w:val="28"/>
    </w:rPr>
  </w:style>
  <w:style w:type="paragraph" w:styleId="Nagwek3">
    <w:name w:val="heading 3"/>
    <w:basedOn w:val="Normalny"/>
    <w:uiPriority w:val="9"/>
    <w:semiHidden/>
    <w:unhideWhenUsed/>
    <w:qFormat/>
    <w:pPr>
      <w:keepNext/>
      <w:spacing w:before="120"/>
      <w:ind w:left="709" w:hanging="709"/>
      <w:jc w:val="both"/>
      <w:outlineLvl w:val="2"/>
    </w:pPr>
    <w:rPr>
      <w:b/>
      <w:caps/>
      <w:color w:val="000000"/>
      <w:sz w:val="24"/>
      <w:szCs w:val="24"/>
      <w:lang w:val="x-none" w:eastAsia="x-none"/>
    </w:rPr>
  </w:style>
  <w:style w:type="paragraph" w:styleId="Nagwek6">
    <w:name w:val="heading 6"/>
    <w:basedOn w:val="Normalny"/>
    <w:uiPriority w:val="9"/>
    <w:semiHidden/>
    <w:unhideWhenUsed/>
    <w:qFormat/>
    <w:pPr>
      <w:spacing w:before="240" w:after="60"/>
      <w:outlineLvl w:val="5"/>
    </w:pPr>
    <w:rPr>
      <w:b/>
      <w:bCs/>
      <w:sz w:val="22"/>
      <w:szCs w:val="22"/>
    </w:rPr>
  </w:style>
  <w:style w:type="paragraph" w:styleId="Nagwek7">
    <w:name w:val="heading 7"/>
    <w:basedOn w:val="Normalny"/>
    <w:qFormat/>
    <w:pPr>
      <w:keepNext/>
      <w:jc w:val="both"/>
      <w:outlineLvl w:val="6"/>
    </w:pPr>
    <w:rPr>
      <w:b/>
      <w:caps/>
      <w:sz w:val="24"/>
      <w:szCs w:val="24"/>
    </w:rPr>
  </w:style>
  <w:style w:type="paragraph" w:styleId="Nagwek8">
    <w:name w:val="heading 8"/>
    <w:basedOn w:val="Normalny"/>
    <w:qFormat/>
    <w:pPr>
      <w:keepNext/>
      <w:jc w:val="center"/>
      <w:outlineLvl w:val="7"/>
    </w:pPr>
    <w:rPr>
      <w:color w:val="000000"/>
      <w:sz w:val="28"/>
      <w:szCs w:val="28"/>
    </w:rPr>
  </w:style>
  <w:style w:type="paragraph" w:styleId="Nagwek9">
    <w:name w:val="heading 9"/>
    <w:basedOn w:val="Normalny"/>
    <w:qFormat/>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FF"/>
      <w:u w:val="single"/>
    </w:rPr>
  </w:style>
  <w:style w:type="character" w:styleId="Numerstrony">
    <w:name w:val="page number"/>
    <w:basedOn w:val="Domylnaczcionkaakapitu"/>
    <w:qFormat/>
  </w:style>
  <w:style w:type="character" w:customStyle="1" w:styleId="FontStyle15">
    <w:name w:val="Font Style15"/>
    <w:qFormat/>
    <w:rPr>
      <w:rFonts w:ascii="Arial" w:hAnsi="Arial" w:cs="Arial"/>
      <w:sz w:val="24"/>
      <w:szCs w:val="24"/>
    </w:rPr>
  </w:style>
  <w:style w:type="character" w:customStyle="1" w:styleId="TekstpodstawowyZnak">
    <w:name w:val="Tekst podstawowy Znak"/>
    <w:qFormat/>
    <w:rPr>
      <w:rFonts w:ascii="TimesNewRomanPS" w:hAnsi="TimesNewRomanPS"/>
      <w:color w:val="000000"/>
      <w:sz w:val="24"/>
      <w:lang w:val="cs-CZ"/>
    </w:rPr>
  </w:style>
  <w:style w:type="character" w:customStyle="1" w:styleId="Tekstpodstawowy3Znak">
    <w:name w:val="Tekst podstawowy 3 Znak"/>
    <w:qFormat/>
    <w:rPr>
      <w:color w:val="000000"/>
      <w:sz w:val="24"/>
      <w:szCs w:val="24"/>
    </w:rPr>
  </w:style>
  <w:style w:type="character" w:customStyle="1" w:styleId="TekstprzypisudolnegoZnak">
    <w:name w:val="Tekst przypisu dolnego Znak"/>
    <w:basedOn w:val="Domylnaczcionkaakapitu"/>
    <w:qFormat/>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StopkaZnak">
    <w:name w:val="Stopka Znak"/>
    <w:basedOn w:val="Domylnaczcionkaakapitu"/>
    <w:qFormat/>
  </w:style>
  <w:style w:type="character" w:customStyle="1" w:styleId="st">
    <w:name w:val="st"/>
    <w:basedOn w:val="Domylnaczcionkaakapitu"/>
    <w:qFormat/>
  </w:style>
  <w:style w:type="character" w:customStyle="1" w:styleId="TytuZnak">
    <w:name w:val="Tytuł Znak"/>
    <w:qFormat/>
    <w:rPr>
      <w:sz w:val="28"/>
      <w:szCs w:val="24"/>
      <w:highlight w:val="white"/>
    </w:rPr>
  </w:style>
  <w:style w:type="character" w:customStyle="1" w:styleId="NagwekZnak">
    <w:name w:val="Nagłówek Znak"/>
    <w:basedOn w:val="Domylnaczcionkaakapitu"/>
    <w:qFormat/>
  </w:style>
  <w:style w:type="character" w:customStyle="1" w:styleId="ZwykytekstZnak">
    <w:name w:val="Zwykły tekst Znak"/>
    <w:qFormat/>
    <w:rPr>
      <w:rFonts w:ascii="Courier New" w:hAnsi="Courier New"/>
      <w:lang w:eastAsia="en-US"/>
    </w:rPr>
  </w:style>
  <w:style w:type="character" w:customStyle="1" w:styleId="TekstdymkaZnak">
    <w:name w:val="Tekst dymka Znak"/>
    <w:qFormat/>
    <w:rPr>
      <w:rFonts w:ascii="Tahoma" w:hAnsi="Tahoma" w:cs="Tahoma"/>
      <w:sz w:val="16"/>
      <w:szCs w:val="16"/>
    </w:rPr>
  </w:style>
  <w:style w:type="character" w:styleId="Pogrubienie">
    <w:name w:val="Strong"/>
    <w:qFormat/>
    <w:rPr>
      <w:b/>
      <w:bCs/>
    </w:rPr>
  </w:style>
  <w:style w:type="character" w:customStyle="1" w:styleId="Teksttreci">
    <w:name w:val="Tekst treści_"/>
    <w:qFormat/>
    <w:rPr>
      <w:spacing w:val="2"/>
      <w:sz w:val="21"/>
      <w:szCs w:val="21"/>
      <w:highlight w:val="white"/>
    </w:rPr>
  </w:style>
  <w:style w:type="character" w:customStyle="1" w:styleId="Teksttreci10">
    <w:name w:val="Tekst treści10"/>
    <w:qFormat/>
    <w:rPr>
      <w:rFonts w:ascii="Arial" w:hAnsi="Arial" w:cs="Arial"/>
      <w:spacing w:val="2"/>
      <w:sz w:val="18"/>
      <w:szCs w:val="18"/>
      <w:highlight w:val="white"/>
      <w:lang w:val="en-US" w:eastAsia="en-US"/>
    </w:rPr>
  </w:style>
  <w:style w:type="character" w:customStyle="1" w:styleId="Teksttreci9">
    <w:name w:val="Tekst treści9"/>
    <w:qFormat/>
    <w:rPr>
      <w:rFonts w:ascii="Arial" w:hAnsi="Arial" w:cs="Arial"/>
      <w:spacing w:val="2"/>
      <w:sz w:val="18"/>
      <w:szCs w:val="18"/>
      <w:highlight w:val="white"/>
    </w:rPr>
  </w:style>
  <w:style w:type="character" w:customStyle="1" w:styleId="Teksttreci8">
    <w:name w:val="Tekst treści8"/>
    <w:qFormat/>
    <w:rPr>
      <w:rFonts w:ascii="Arial" w:hAnsi="Arial" w:cs="Arial"/>
      <w:spacing w:val="2"/>
      <w:sz w:val="18"/>
      <w:szCs w:val="18"/>
      <w:highlight w:val="white"/>
    </w:rPr>
  </w:style>
  <w:style w:type="character" w:customStyle="1" w:styleId="Nagwek20">
    <w:name w:val="Nagłówek #2_"/>
    <w:qFormat/>
    <w:rPr>
      <w:rFonts w:ascii="Arial" w:hAnsi="Arial" w:cs="Arial"/>
      <w:highlight w:val="white"/>
    </w:rPr>
  </w:style>
  <w:style w:type="character" w:customStyle="1" w:styleId="TeksttreciPogrubienie">
    <w:name w:val="Tekst treści + Pogrubienie"/>
    <w:qFormat/>
    <w:rPr>
      <w:rFonts w:ascii="Arial" w:hAnsi="Arial" w:cs="Arial"/>
      <w:spacing w:val="2"/>
      <w:sz w:val="20"/>
      <w:szCs w:val="20"/>
      <w:highlight w:val="white"/>
    </w:rPr>
  </w:style>
  <w:style w:type="character" w:customStyle="1" w:styleId="apple-converted-space">
    <w:name w:val="apple-converted-space"/>
    <w:qFormat/>
  </w:style>
  <w:style w:type="character" w:styleId="Odwoaniedokomentarza">
    <w:name w:val="annotation reference"/>
    <w:qFormat/>
    <w:rPr>
      <w:sz w:val="18"/>
      <w:szCs w:val="18"/>
    </w:rPr>
  </w:style>
  <w:style w:type="character" w:customStyle="1" w:styleId="TekstkomentarzaZnak">
    <w:name w:val="Tekst komentarza Znak"/>
    <w:qFormat/>
    <w:rPr>
      <w:sz w:val="24"/>
      <w:szCs w:val="24"/>
    </w:rPr>
  </w:style>
  <w:style w:type="character" w:customStyle="1" w:styleId="TematkomentarzaZnak">
    <w:name w:val="Temat komentarza Znak"/>
    <w:qFormat/>
    <w:rPr>
      <w:b/>
      <w:bCs/>
      <w:sz w:val="24"/>
      <w:szCs w:val="24"/>
    </w:rPr>
  </w:style>
  <w:style w:type="character" w:customStyle="1" w:styleId="Tekstpodstawowywcity3Znak">
    <w:name w:val="Tekst podstawowy wcięty 3 Znak"/>
    <w:qFormat/>
    <w:rPr>
      <w:sz w:val="16"/>
      <w:szCs w:val="16"/>
    </w:rPr>
  </w:style>
  <w:style w:type="character" w:customStyle="1" w:styleId="Nagwek3Znak">
    <w:name w:val="Nagłówek 3 Znak"/>
    <w:qFormat/>
    <w:rPr>
      <w:b/>
      <w:caps/>
      <w:color w:val="000000"/>
      <w:sz w:val="24"/>
      <w:szCs w:val="24"/>
    </w:rPr>
  </w:style>
  <w:style w:type="character" w:customStyle="1" w:styleId="Internetlink">
    <w:name w:val="Internet link"/>
    <w:qFormat/>
    <w:rPr>
      <w:color w:val="0000FF"/>
      <w:u w:val="single" w:color="000000"/>
    </w:rPr>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eastAsia="Times New Roman"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b w:val="0"/>
      <w:bCs w:val="0"/>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b w:val="0"/>
      <w:bCs w:val="0"/>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b w:val="0"/>
      <w:bCs w:val="0"/>
    </w:rPr>
  </w:style>
  <w:style w:type="character" w:customStyle="1" w:styleId="ListLabel123">
    <w:name w:val="ListLabel 123"/>
    <w:qFormat/>
    <w:rPr>
      <w:rFonts w:eastAsia="Times New Roman" w:cs="Times New Roman"/>
      <w:color w:val="00000A"/>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eastAsia="Times New Roman" w:cs="Times New Roman"/>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eastAsia="Times New Roman" w:cs="Times New Roman"/>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eastAsia="Times New Roman" w:cs="Times New Roman"/>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Times New Roman"/>
      <w:color w:val="00000A"/>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eastAsia="Times New Roman" w:cs="Times New Roman"/>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rPr>
  </w:style>
  <w:style w:type="character" w:customStyle="1" w:styleId="ListLabel153">
    <w:name w:val="ListLabel 153"/>
    <w:qFormat/>
    <w:rPr>
      <w:b w:val="0"/>
    </w:rPr>
  </w:style>
  <w:style w:type="character" w:customStyle="1" w:styleId="ListLabel154">
    <w:name w:val="ListLabel 154"/>
    <w:qFormat/>
    <w:rPr>
      <w:b w:val="0"/>
    </w:rPr>
  </w:style>
  <w:style w:type="character" w:customStyle="1" w:styleId="ListLabel155">
    <w:name w:val="ListLabel 155"/>
    <w:qFormat/>
    <w:rPr>
      <w:rFonts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color w:val="000000"/>
      <w:spacing w:val="2"/>
      <w:position w:val="0"/>
      <w:sz w:val="20"/>
      <w:vertAlign w:val="baseline"/>
    </w:rPr>
  </w:style>
  <w:style w:type="character" w:customStyle="1" w:styleId="ListLabel162">
    <w:name w:val="ListLabel 162"/>
    <w:qFormat/>
    <w:rPr>
      <w:spacing w:val="2"/>
      <w:position w:val="0"/>
      <w:sz w:val="20"/>
      <w:szCs w:val="20"/>
      <w:vertAlign w:val="baseline"/>
    </w:rPr>
  </w:style>
  <w:style w:type="character" w:customStyle="1" w:styleId="ListLabel163">
    <w:name w:val="ListLabel 163"/>
    <w:qFormat/>
    <w:rPr>
      <w:rFonts w:cs="Arial"/>
      <w:color w:val="000000"/>
      <w:spacing w:val="2"/>
      <w:position w:val="0"/>
      <w:sz w:val="20"/>
      <w:vertAlign w:val="baseline"/>
    </w:rPr>
  </w:style>
  <w:style w:type="character" w:customStyle="1" w:styleId="ListLabel164">
    <w:name w:val="ListLabel 164"/>
    <w:qFormat/>
    <w:rPr>
      <w:spacing w:val="2"/>
      <w:position w:val="0"/>
      <w:sz w:val="22"/>
      <w:szCs w:val="20"/>
      <w:vertAlign w:val="baseline"/>
    </w:rPr>
  </w:style>
  <w:style w:type="character" w:customStyle="1" w:styleId="ListLabel165">
    <w:name w:val="ListLabel 165"/>
    <w:qFormat/>
    <w:rPr>
      <w:rFonts w:cs="Tahoma"/>
      <w:color w:val="00000A"/>
      <w:sz w:val="24"/>
      <w:szCs w:val="24"/>
    </w:rPr>
  </w:style>
  <w:style w:type="character" w:customStyle="1" w:styleId="ListLabel166">
    <w:name w:val="ListLabel 166"/>
    <w:qFormat/>
    <w:rPr>
      <w:rFonts w:ascii="Times New Roman" w:hAnsi="Times New Roman" w:cs="Tahoma"/>
      <w:color w:val="00000A"/>
      <w:sz w:val="24"/>
      <w:szCs w:val="24"/>
    </w:rPr>
  </w:style>
  <w:style w:type="character" w:customStyle="1" w:styleId="ListLabel167">
    <w:name w:val="ListLabel 167"/>
    <w:qFormat/>
    <w:rPr>
      <w:rFonts w:ascii="Times New Roman" w:hAnsi="Times New Roman" w:cs="Tahoma"/>
      <w:color w:val="00000A"/>
      <w:sz w:val="24"/>
      <w:szCs w:val="24"/>
    </w:rPr>
  </w:style>
  <w:style w:type="character" w:customStyle="1" w:styleId="ListLabel168">
    <w:name w:val="ListLabel 168"/>
    <w:qFormat/>
    <w:rPr>
      <w:rFonts w:cs="Tahoma"/>
      <w:color w:val="000000"/>
      <w:sz w:val="24"/>
      <w:szCs w:val="24"/>
    </w:rPr>
  </w:style>
  <w:style w:type="character" w:customStyle="1" w:styleId="ListLabel169">
    <w:name w:val="ListLabel 169"/>
    <w:qFormat/>
    <w:rPr>
      <w:rFonts w:cs="Tahoma"/>
      <w:color w:val="000000"/>
      <w:sz w:val="24"/>
      <w:szCs w:val="24"/>
    </w:rPr>
  </w:style>
  <w:style w:type="character" w:customStyle="1" w:styleId="ListLabel170">
    <w:name w:val="ListLabel 170"/>
    <w:qFormat/>
    <w:rPr>
      <w:rFonts w:cs="Times New Roman"/>
      <w:color w:val="000000"/>
    </w:rPr>
  </w:style>
  <w:style w:type="character" w:customStyle="1" w:styleId="ListLabel171">
    <w:name w:val="ListLabel 171"/>
    <w:qFormat/>
    <w:rPr>
      <w:rFonts w:eastAsia="Times New Roman" w:cs="Times New Roman"/>
      <w:color w:val="000000"/>
    </w:rPr>
  </w:style>
  <w:style w:type="character" w:customStyle="1" w:styleId="Znakinumeracji">
    <w:name w:val="Znaki numeracji"/>
    <w:qFormat/>
    <w:rPr>
      <w:b/>
      <w:bCs/>
    </w:rPr>
  </w:style>
  <w:style w:type="character" w:customStyle="1" w:styleId="ListLabel172">
    <w:name w:val="ListLabel 172"/>
    <w:qFormat/>
    <w:rPr>
      <w:b w:val="0"/>
    </w:rPr>
  </w:style>
  <w:style w:type="character" w:customStyle="1" w:styleId="ListLabel173">
    <w:name w:val="ListLabel 173"/>
    <w:qFormat/>
    <w:rPr>
      <w:b/>
      <w:bCs/>
    </w:rPr>
  </w:style>
  <w:style w:type="character" w:customStyle="1" w:styleId="ListLabel174">
    <w:name w:val="ListLabel 174"/>
    <w:qFormat/>
    <w:rPr>
      <w:rFonts w:cs="Arial"/>
      <w:color w:val="000000"/>
      <w:spacing w:val="2"/>
      <w:position w:val="0"/>
      <w:sz w:val="20"/>
      <w:vertAlign w:val="baseline"/>
    </w:rPr>
  </w:style>
  <w:style w:type="character" w:customStyle="1" w:styleId="ListLabel175">
    <w:name w:val="ListLabel 175"/>
    <w:qFormat/>
    <w:rPr>
      <w:spacing w:val="2"/>
      <w:position w:val="0"/>
      <w:sz w:val="22"/>
      <w:szCs w:val="20"/>
      <w:vertAlign w:val="baseline"/>
    </w:rPr>
  </w:style>
  <w:style w:type="character" w:customStyle="1" w:styleId="ListLabel176">
    <w:name w:val="ListLabel 176"/>
    <w:qFormat/>
    <w:rPr>
      <w:rFonts w:ascii="Times New Roman" w:hAnsi="Times New Roman" w:cs="Tahoma"/>
      <w:color w:val="00000A"/>
      <w:sz w:val="24"/>
      <w:szCs w:val="24"/>
    </w:rPr>
  </w:style>
  <w:style w:type="character" w:customStyle="1" w:styleId="ListLabel177">
    <w:name w:val="ListLabel 177"/>
    <w:qFormat/>
    <w:rPr>
      <w:rFonts w:ascii="Times New Roman" w:hAnsi="Times New Roman" w:cs="Tahoma"/>
      <w:color w:val="00000A"/>
      <w:sz w:val="24"/>
      <w:szCs w:val="24"/>
    </w:rPr>
  </w:style>
  <w:style w:type="character" w:customStyle="1" w:styleId="ListLabel178">
    <w:name w:val="ListLabel 178"/>
    <w:qFormat/>
    <w:rPr>
      <w:rFonts w:cs="Tahoma"/>
      <w:color w:val="000000"/>
      <w:sz w:val="24"/>
      <w:szCs w:val="24"/>
    </w:rPr>
  </w:style>
  <w:style w:type="character" w:customStyle="1" w:styleId="ListLabel179">
    <w:name w:val="ListLabel 179"/>
    <w:qFormat/>
    <w:rPr>
      <w:b/>
      <w:bCs/>
    </w:rPr>
  </w:style>
  <w:style w:type="character" w:customStyle="1" w:styleId="ListLabel180">
    <w:name w:val="ListLabel 180"/>
    <w:qFormat/>
    <w:rPr>
      <w:b/>
      <w:bCs/>
    </w:rPr>
  </w:style>
  <w:style w:type="character" w:customStyle="1" w:styleId="ListLabel181">
    <w:name w:val="ListLabel 181"/>
    <w:qFormat/>
    <w:rPr>
      <w:b/>
      <w:bCs/>
    </w:rPr>
  </w:style>
  <w:style w:type="character" w:customStyle="1" w:styleId="ListLabel182">
    <w:name w:val="ListLabel 182"/>
    <w:qFormat/>
    <w:rPr>
      <w:b/>
      <w:bCs/>
    </w:rPr>
  </w:style>
  <w:style w:type="character" w:customStyle="1" w:styleId="ListLabel183">
    <w:name w:val="ListLabel 183"/>
    <w:qFormat/>
    <w:rPr>
      <w:b/>
      <w:bCs/>
    </w:rPr>
  </w:style>
  <w:style w:type="character" w:customStyle="1" w:styleId="ListLabel184">
    <w:name w:val="ListLabel 184"/>
    <w:qFormat/>
    <w:rPr>
      <w:b/>
      <w:bCs/>
    </w:rPr>
  </w:style>
  <w:style w:type="character" w:customStyle="1" w:styleId="ListLabel185">
    <w:name w:val="ListLabel 185"/>
    <w:qFormat/>
    <w:rPr>
      <w:b/>
      <w:bCs/>
    </w:rPr>
  </w:style>
  <w:style w:type="character" w:customStyle="1" w:styleId="ListLabel186">
    <w:name w:val="ListLabel 186"/>
    <w:qFormat/>
    <w:rPr>
      <w:b/>
      <w:bCs/>
    </w:rPr>
  </w:style>
  <w:style w:type="character" w:customStyle="1" w:styleId="ListLabel187">
    <w:name w:val="ListLabel 187"/>
    <w:qFormat/>
    <w:rPr>
      <w:b/>
      <w:bCs/>
    </w:rPr>
  </w:style>
  <w:style w:type="character" w:customStyle="1" w:styleId="ListLabel188">
    <w:name w:val="ListLabel 188"/>
    <w:qFormat/>
    <w:rPr>
      <w:b/>
      <w:bCs/>
    </w:rPr>
  </w:style>
  <w:style w:type="character" w:customStyle="1" w:styleId="ListLabel189">
    <w:name w:val="ListLabel 189"/>
    <w:qFormat/>
    <w:rPr>
      <w:b/>
      <w:bCs/>
    </w:rPr>
  </w:style>
  <w:style w:type="character" w:customStyle="1" w:styleId="ListLabel190">
    <w:name w:val="ListLabel 190"/>
    <w:qFormat/>
    <w:rPr>
      <w:b/>
      <w:bCs/>
    </w:rPr>
  </w:style>
  <w:style w:type="character" w:customStyle="1" w:styleId="ListLabel191">
    <w:name w:val="ListLabel 191"/>
    <w:qFormat/>
    <w:rPr>
      <w:b/>
      <w:bCs/>
    </w:rPr>
  </w:style>
  <w:style w:type="character" w:customStyle="1" w:styleId="ListLabel192">
    <w:name w:val="ListLabel 192"/>
    <w:qFormat/>
    <w:rPr>
      <w:b/>
      <w:bCs/>
    </w:rPr>
  </w:style>
  <w:style w:type="character" w:customStyle="1" w:styleId="ListLabel193">
    <w:name w:val="ListLabel 193"/>
    <w:qFormat/>
    <w:rPr>
      <w:b/>
      <w:bCs/>
    </w:rPr>
  </w:style>
  <w:style w:type="character" w:customStyle="1" w:styleId="ListLabel194">
    <w:name w:val="ListLabel 194"/>
    <w:qFormat/>
    <w:rPr>
      <w:b/>
      <w:bCs/>
    </w:rPr>
  </w:style>
  <w:style w:type="character" w:customStyle="1" w:styleId="ListLabel195">
    <w:name w:val="ListLabel 195"/>
    <w:qFormat/>
    <w:rPr>
      <w:b/>
      <w:bCs/>
    </w:rPr>
  </w:style>
  <w:style w:type="character" w:customStyle="1" w:styleId="ListLabel196">
    <w:name w:val="ListLabel 196"/>
    <w:qFormat/>
    <w:rPr>
      <w:b/>
      <w:bCs/>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rPr>
      <w:rFonts w:ascii="TimesNewRomanPS" w:hAnsi="TimesNewRomanPS"/>
      <w:color w:val="000000"/>
      <w:sz w:val="24"/>
      <w:lang w:val="cs-CZ"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2">
    <w:name w:val="Body Text 2"/>
    <w:basedOn w:val="Normalny"/>
    <w:qFormat/>
    <w:pPr>
      <w:spacing w:before="120"/>
      <w:jc w:val="both"/>
    </w:pPr>
    <w:rPr>
      <w:bCs/>
      <w:sz w:val="22"/>
      <w:szCs w:val="22"/>
    </w:rPr>
  </w:style>
  <w:style w:type="paragraph" w:styleId="Tekstpodstawowy3">
    <w:name w:val="Body Text 3"/>
    <w:basedOn w:val="Normalny"/>
    <w:qFormat/>
    <w:pPr>
      <w:spacing w:before="120"/>
      <w:jc w:val="both"/>
    </w:pPr>
    <w:rPr>
      <w:color w:val="000000"/>
      <w:sz w:val="24"/>
      <w:szCs w:val="24"/>
      <w:lang w:val="x-none" w:eastAsia="x-none"/>
    </w:rPr>
  </w:style>
  <w:style w:type="paragraph" w:styleId="Tekstpodstawowywcity2">
    <w:name w:val="Body Text Indent 2"/>
    <w:basedOn w:val="Normalny"/>
    <w:qFormat/>
    <w:pPr>
      <w:ind w:left="709" w:hanging="709"/>
      <w:jc w:val="both"/>
    </w:pPr>
    <w:rPr>
      <w:b/>
      <w:caps/>
      <w:color w:val="000000"/>
      <w:sz w:val="24"/>
      <w:szCs w:val="24"/>
    </w:rPr>
  </w:style>
  <w:style w:type="paragraph" w:customStyle="1" w:styleId="Tekstpodstawowywcity1">
    <w:name w:val="Tekst podstawowy wcięty1"/>
    <w:basedOn w:val="Normalny"/>
    <w:qFormat/>
    <w:pPr>
      <w:spacing w:after="120"/>
      <w:ind w:left="283"/>
    </w:pPr>
  </w:style>
  <w:style w:type="paragraph" w:customStyle="1" w:styleId="Akapitzlist1">
    <w:name w:val="Akapit z listą1"/>
    <w:basedOn w:val="Normalny"/>
    <w:qFormat/>
    <w:pPr>
      <w:spacing w:after="200" w:line="276" w:lineRule="auto"/>
      <w:ind w:left="720"/>
    </w:pPr>
    <w:rPr>
      <w:rFonts w:ascii="Calibri" w:hAnsi="Calibri"/>
      <w:sz w:val="24"/>
      <w:szCs w:val="24"/>
      <w:lang w:eastAsia="en-US"/>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before="120"/>
      <w:ind w:left="567" w:hanging="567"/>
      <w:jc w:val="both"/>
    </w:pPr>
    <w:rPr>
      <w:bCs/>
      <w:sz w:val="22"/>
      <w:szCs w:val="22"/>
    </w:rPr>
  </w:style>
  <w:style w:type="paragraph" w:customStyle="1" w:styleId="Kolorowalistaakcent11">
    <w:name w:val="Kolorowa lista — akcent 11"/>
    <w:basedOn w:val="Normalny"/>
    <w:qFormat/>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style>
  <w:style w:type="paragraph" w:customStyle="1" w:styleId="Domylnie">
    <w:name w:val="Domyślnie"/>
    <w:qFormat/>
    <w:pPr>
      <w:widowControl w:val="0"/>
    </w:pPr>
    <w:rPr>
      <w:rFonts w:ascii="Nimbus Roman No9 L" w:hAnsi="Nimbus Roman No9 L"/>
      <w:sz w:val="24"/>
      <w:szCs w:val="24"/>
    </w:rPr>
  </w:style>
  <w:style w:type="paragraph" w:styleId="Tytu">
    <w:name w:val="Title"/>
    <w:basedOn w:val="Normalny"/>
    <w:uiPriority w:val="10"/>
    <w:qFormat/>
    <w:pPr>
      <w:shd w:val="clear" w:color="auto" w:fill="FFFFFF"/>
      <w:tabs>
        <w:tab w:val="left" w:pos="240"/>
      </w:tabs>
      <w:ind w:left="173"/>
      <w:jc w:val="center"/>
    </w:pPr>
    <w:rPr>
      <w:b/>
      <w:bCs/>
      <w:sz w:val="28"/>
      <w:szCs w:val="24"/>
      <w:lang w:val="x-none" w:eastAsia="x-none"/>
    </w:rPr>
  </w:style>
  <w:style w:type="paragraph" w:styleId="Bezodstpw">
    <w:name w:val="No Spacing"/>
    <w:qFormat/>
    <w:rPr>
      <w:sz w:val="24"/>
    </w:rPr>
  </w:style>
  <w:style w:type="paragraph" w:customStyle="1" w:styleId="Standard">
    <w:name w:val="Standard"/>
    <w:qFormat/>
    <w:pPr>
      <w:widowControl w:val="0"/>
      <w:suppressAutoHyphens/>
    </w:pPr>
    <w:rPr>
      <w:sz w:val="24"/>
      <w:szCs w:val="24"/>
      <w:lang w:eastAsia="zh-CN"/>
    </w:rPr>
  </w:style>
  <w:style w:type="paragraph" w:customStyle="1" w:styleId="ListParagraph1">
    <w:name w:val="List Paragraph1"/>
    <w:basedOn w:val="Normalny"/>
    <w:qFormat/>
    <w:pPr>
      <w:spacing w:after="200" w:line="276" w:lineRule="auto"/>
      <w:ind w:left="720"/>
      <w:contextualSpacing/>
    </w:pPr>
    <w:rPr>
      <w:rFonts w:ascii="Calibri" w:hAnsi="Calibri"/>
      <w:sz w:val="22"/>
      <w:szCs w:val="22"/>
      <w:lang w:eastAsia="en-US"/>
    </w:rPr>
  </w:style>
  <w:style w:type="paragraph" w:styleId="Zwykytekst">
    <w:name w:val="Plain Text"/>
    <w:basedOn w:val="Normalny"/>
    <w:qFormat/>
    <w:rPr>
      <w:rFonts w:ascii="Courier New" w:hAnsi="Courier New"/>
      <w:lang w:val="x-none" w:eastAsia="en-US"/>
    </w:rPr>
  </w:style>
  <w:style w:type="paragraph" w:customStyle="1" w:styleId="Akapitzlist2">
    <w:name w:val="Akapit z listą2"/>
    <w:basedOn w:val="Normalny"/>
    <w:qFormat/>
    <w:pPr>
      <w:spacing w:after="200" w:line="276" w:lineRule="auto"/>
      <w:ind w:left="720"/>
    </w:pPr>
    <w:rPr>
      <w:rFonts w:ascii="Calibri" w:hAnsi="Calibri"/>
      <w:sz w:val="24"/>
      <w:szCs w:val="24"/>
      <w:lang w:eastAsia="en-US"/>
    </w:rPr>
  </w:style>
  <w:style w:type="paragraph" w:styleId="Tekstdymka">
    <w:name w:val="Balloon Text"/>
    <w:basedOn w:val="Normalny"/>
    <w:qFormat/>
    <w:rPr>
      <w:rFonts w:ascii="Tahoma" w:hAnsi="Tahoma"/>
      <w:sz w:val="16"/>
      <w:szCs w:val="16"/>
      <w:lang w:val="x-none" w:eastAsia="x-none"/>
    </w:rPr>
  </w:style>
  <w:style w:type="paragraph" w:customStyle="1" w:styleId="Default">
    <w:name w:val="Default"/>
    <w:qFormat/>
    <w:rPr>
      <w:color w:val="000000"/>
      <w:sz w:val="24"/>
      <w:szCs w:val="24"/>
    </w:rPr>
  </w:style>
  <w:style w:type="paragraph" w:customStyle="1" w:styleId="Teksttreci0">
    <w:name w:val="Tekst treści"/>
    <w:basedOn w:val="Normalny"/>
    <w:qFormat/>
    <w:pPr>
      <w:shd w:val="clear" w:color="auto" w:fill="FFFFFF"/>
      <w:spacing w:line="240" w:lineRule="atLeast"/>
      <w:ind w:hanging="360"/>
    </w:pPr>
    <w:rPr>
      <w:spacing w:val="2"/>
      <w:sz w:val="21"/>
      <w:szCs w:val="21"/>
      <w:highlight w:val="white"/>
      <w:lang w:val="x-none" w:eastAsia="x-none"/>
    </w:rPr>
  </w:style>
  <w:style w:type="paragraph" w:customStyle="1" w:styleId="Teksttreci1">
    <w:name w:val="Tekst treści1"/>
    <w:basedOn w:val="Normalny"/>
    <w:qFormat/>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pPr>
      <w:widowControl w:val="0"/>
      <w:shd w:val="clear" w:color="auto" w:fill="FFFFFF"/>
      <w:spacing w:after="180" w:line="240" w:lineRule="atLeast"/>
      <w:ind w:hanging="680"/>
      <w:jc w:val="both"/>
      <w:outlineLvl w:val="1"/>
    </w:pPr>
    <w:rPr>
      <w:rFonts w:ascii="Arial" w:hAnsi="Arial"/>
      <w:b/>
      <w:bCs/>
      <w:lang w:val="x-none" w:eastAsia="x-none"/>
    </w:rPr>
  </w:style>
  <w:style w:type="paragraph" w:customStyle="1" w:styleId="ChapterTitle">
    <w:name w:val="ChapterTitle"/>
    <w:basedOn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qFormat/>
    <w:pPr>
      <w:keepNext/>
      <w:spacing w:before="120" w:after="360"/>
      <w:jc w:val="center"/>
    </w:pPr>
    <w:rPr>
      <w:rFonts w:eastAsia="Calibri"/>
      <w:b/>
      <w:smallCaps/>
      <w:sz w:val="28"/>
      <w:szCs w:val="22"/>
      <w:lang w:eastAsia="en-GB"/>
    </w:rPr>
  </w:style>
  <w:style w:type="paragraph" w:customStyle="1" w:styleId="Annexetitre">
    <w:name w:val="Annexe titre"/>
    <w:basedOn w:val="Normalny"/>
    <w:qFormat/>
    <w:pPr>
      <w:spacing w:before="120" w:after="120"/>
      <w:jc w:val="center"/>
    </w:pPr>
    <w:rPr>
      <w:rFonts w:eastAsia="Calibri"/>
      <w:b/>
      <w:sz w:val="24"/>
      <w:szCs w:val="22"/>
      <w:u w:val="single"/>
      <w:lang w:eastAsia="en-GB"/>
    </w:rPr>
  </w:style>
  <w:style w:type="paragraph" w:styleId="Tekstkomentarza">
    <w:name w:val="annotation text"/>
    <w:basedOn w:val="Normalny"/>
    <w:qFormat/>
    <w:rPr>
      <w:sz w:val="24"/>
      <w:szCs w:val="24"/>
      <w:lang w:val="x-none" w:eastAsia="x-none"/>
    </w:rPr>
  </w:style>
  <w:style w:type="paragraph" w:styleId="Tematkomentarza">
    <w:name w:val="annotation subject"/>
    <w:basedOn w:val="Tekstkomentarza"/>
    <w:qFormat/>
    <w:rPr>
      <w:b/>
      <w:bCs/>
    </w:rPr>
  </w:style>
  <w:style w:type="paragraph" w:styleId="Akapitzlist">
    <w:name w:val="List Paragraph"/>
    <w:basedOn w:val="Normalny"/>
    <w:qFormat/>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pPr>
      <w:spacing w:after="120"/>
      <w:ind w:left="283"/>
    </w:pPr>
    <w:rPr>
      <w:sz w:val="16"/>
      <w:szCs w:val="16"/>
    </w:rPr>
  </w:style>
  <w:style w:type="paragraph" w:customStyle="1" w:styleId="Textbody">
    <w:name w:val="Text body"/>
    <w:basedOn w:val="Standard"/>
    <w:qFormat/>
    <w:pPr>
      <w:suppressAutoHyphens w:val="0"/>
      <w:spacing w:after="120"/>
    </w:pPr>
    <w:rPr>
      <w:color w:val="00000A"/>
      <w:sz w:val="20"/>
      <w:szCs w:val="20"/>
    </w:rPr>
  </w:style>
  <w:style w:type="paragraph" w:customStyle="1" w:styleId="Zawartotabeli">
    <w:name w:val="Zawartość tabeli"/>
    <w:basedOn w:val="Standard"/>
    <w:qFormat/>
    <w:pPr>
      <w:suppressLineNumbers/>
    </w:pPr>
    <w:rPr>
      <w:rFonts w:eastAsia="Droid Sans" w:cs="DejaVu Sans Condensed"/>
    </w:rPr>
  </w:style>
  <w:style w:type="paragraph" w:customStyle="1" w:styleId="Nagwektabeli">
    <w:name w:val="Nagłówek tabeli"/>
    <w:basedOn w:val="Zawartotabeli"/>
    <w:qFormat/>
    <w:pPr>
      <w:jc w:val="center"/>
    </w:pPr>
    <w:rPr>
      <w:b/>
      <w:bCs/>
    </w:rPr>
  </w:style>
  <w:style w:type="paragraph" w:customStyle="1" w:styleId="DocumentMap">
    <w:name w:val="DocumentMap"/>
    <w:qFormat/>
    <w:rPr>
      <w:rFonts w:ascii="Calibri" w:hAnsi="Calibri" w:cs="Calibri"/>
      <w:sz w:val="22"/>
      <w:szCs w:val="22"/>
    </w:rPr>
  </w:style>
  <w:style w:type="numbering" w:customStyle="1" w:styleId="WW8Num2">
    <w:name w:val="WW8Num2"/>
    <w:qFormat/>
  </w:style>
  <w:style w:type="numbering" w:customStyle="1" w:styleId="WW8Num4">
    <w:name w:val="WW8Num4"/>
    <w:qFormat/>
  </w:style>
  <w:style w:type="numbering" w:customStyle="1" w:styleId="WW8Num3">
    <w:name w:val="WW8Num3"/>
    <w:qFormat/>
  </w:style>
  <w:style w:type="numbering" w:customStyle="1" w:styleId="WW8Num6">
    <w:name w:val="WW8Num6"/>
    <w:qFormat/>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h1">
    <w:name w:val="h1"/>
    <w:basedOn w:val="Domylnaczcionkaakapitu"/>
    <w:qFormat/>
    <w:rsid w:val="00A6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20_czerw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19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l.wikipedia.org/wiki/20_czerwca" TargetMode="External"/><Relationship Id="rId4" Type="http://schemas.openxmlformats.org/officeDocument/2006/relationships/settings" Target="settings.xml"/><Relationship Id="rId9" Type="http://schemas.openxmlformats.org/officeDocument/2006/relationships/hyperlink" Target="http://pl.wikipedia.org/wiki/20_czerwc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33FA-54C3-4371-84FE-FCF40C30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Pages>
  <Words>1760</Words>
  <Characters>10564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Kijowski</dc:creator>
  <cp:lastModifiedBy>P.Łuczak (KW Opole)</cp:lastModifiedBy>
  <cp:revision>92</cp:revision>
  <cp:lastPrinted>2020-07-31T08:58:00Z</cp:lastPrinted>
  <dcterms:created xsi:type="dcterms:W3CDTF">2020-06-01T08:45:00Z</dcterms:created>
  <dcterms:modified xsi:type="dcterms:W3CDTF">2024-06-28T11:43:00Z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