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F38" w14:textId="05439686" w:rsidR="00E938A4" w:rsidRPr="00F915FF" w:rsidRDefault="00E938A4" w:rsidP="00E938A4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1E9E0011" w14:textId="383745E9" w:rsidR="00E938A4" w:rsidRDefault="00E938A4" w:rsidP="00E938A4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F915FF">
        <w:rPr>
          <w:rFonts w:asciiTheme="minorHAnsi" w:hAnsiTheme="minorHAnsi" w:cstheme="minorHAnsi"/>
          <w:b/>
          <w:sz w:val="20"/>
        </w:rPr>
        <w:t xml:space="preserve">OPIS PRZEDMIOTU ZAMÓWIENIA </w:t>
      </w:r>
    </w:p>
    <w:p w14:paraId="2E7552E9" w14:textId="5C9E2E13" w:rsidR="00E938A4" w:rsidRPr="00F915FF" w:rsidRDefault="00E938A4" w:rsidP="00E938A4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Część 1</w:t>
      </w:r>
    </w:p>
    <w:p w14:paraId="65FA7A1A" w14:textId="32B39948" w:rsidR="00E938A4" w:rsidRPr="00F915FF" w:rsidRDefault="00E938A4" w:rsidP="00E938A4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552B1FE5" w14:textId="480180BE" w:rsidR="00E938A4" w:rsidRPr="00F915FF" w:rsidRDefault="00E938A4" w:rsidP="00E938A4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 xml:space="preserve">sprzętu komputerowego z oprogramowaniem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br/>
        <w:t>dla ŁUKASIEWICZ-PORT”</w:t>
      </w:r>
      <w:r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 xml:space="preserve"> , Branżowy Punkt Kontaktowy Technologie Medyczne i Zdrowie</w:t>
      </w:r>
    </w:p>
    <w:p w14:paraId="727375F8" w14:textId="2139BD2A" w:rsidR="00E938A4" w:rsidRPr="00F915FF" w:rsidRDefault="00E938A4" w:rsidP="00E938A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6364"/>
        <w:gridCol w:w="1276"/>
      </w:tblGrid>
      <w:tr w:rsidR="00E938A4" w:rsidRPr="00F915FF" w14:paraId="456F8858" w14:textId="77777777" w:rsidTr="008D1D39">
        <w:trPr>
          <w:trHeight w:val="58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281ACDE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3D1B191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E95D740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</w:tr>
      <w:tr w:rsidR="00E938A4" w:rsidRPr="00F915FF" w14:paraId="1CB8DE07" w14:textId="77777777" w:rsidTr="008D1D39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CE667E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3ED767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14” STD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DA45E9" w14:textId="77777777" w:rsidR="00E938A4" w:rsidRPr="00F915FF" w:rsidRDefault="00E938A4" w:rsidP="008D1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938A4" w:rsidRPr="00F915FF" w14:paraId="724244DE" w14:textId="77777777" w:rsidTr="008D1D39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B2A78F9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6FDEC5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24”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C1FE37" w14:textId="77777777" w:rsidR="00E938A4" w:rsidRPr="00F915FF" w:rsidRDefault="00E938A4" w:rsidP="008D1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938A4" w:rsidRPr="00F915FF" w14:paraId="070B46D6" w14:textId="77777777" w:rsidTr="008D1D39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FC46FC" w14:textId="0E9EDEA4" w:rsidR="00E938A4" w:rsidRPr="00F915FF" w:rsidRDefault="00990E6A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3BE7A4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328454" w14:textId="7FCFE5B5" w:rsidR="00E938A4" w:rsidRPr="00F915FF" w:rsidRDefault="00990E6A" w:rsidP="008D1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938A4" w:rsidRPr="00F915FF" w14:paraId="0356629C" w14:textId="77777777" w:rsidTr="008D1D39">
        <w:trPr>
          <w:trHeight w:val="39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A93BAF" w14:textId="65AC506E" w:rsidR="00E938A4" w:rsidRPr="00F915FF" w:rsidRDefault="00990E6A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5638E67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równoważności dla systemu operacyjnego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5AD97D" w14:textId="1E967995" w:rsidR="00E938A4" w:rsidRPr="00F915FF" w:rsidRDefault="00990E6A" w:rsidP="008D1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2411B81D" w14:textId="77777777" w:rsidR="00E938A4" w:rsidRPr="00F915FF" w:rsidRDefault="00E938A4" w:rsidP="00E938A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6D10846" w14:textId="2575C6D0" w:rsidR="00E938A4" w:rsidRPr="00F915FF" w:rsidRDefault="00E938A4" w:rsidP="004C03B5">
      <w:pPr>
        <w:ind w:left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</w:t>
      </w:r>
      <w:r w:rsidR="00E86C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chce 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zakup</w:t>
      </w:r>
      <w:r w:rsidR="00E86C9E">
        <w:rPr>
          <w:rFonts w:asciiTheme="minorHAnsi" w:hAnsiTheme="minorHAnsi" w:cstheme="minorHAnsi"/>
          <w:color w:val="000000" w:themeColor="text1"/>
          <w:sz w:val="20"/>
          <w:szCs w:val="20"/>
        </w:rPr>
        <w:t>ić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2C375A2B" w14:textId="77777777" w:rsidR="00E938A4" w:rsidRPr="00F915FF" w:rsidRDefault="00E938A4" w:rsidP="00E938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szt. zestawów komputerowych 14” STD</w:t>
      </w:r>
    </w:p>
    <w:p w14:paraId="628AFD4F" w14:textId="77777777" w:rsidR="00E938A4" w:rsidRPr="00F915FF" w:rsidRDefault="00E938A4" w:rsidP="00E938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 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>szt. monitów LCD 24”</w:t>
      </w:r>
    </w:p>
    <w:p w14:paraId="0924A9CD" w14:textId="47554266" w:rsidR="00E938A4" w:rsidRDefault="00E938A4" w:rsidP="00E938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 </w:t>
      </w:r>
      <w:r w:rsidRPr="00F91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szt.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pakiet biurowy</w:t>
      </w:r>
    </w:p>
    <w:p w14:paraId="2CE12B22" w14:textId="44EEC0FF" w:rsidR="00E86C9E" w:rsidRDefault="00E86C9E" w:rsidP="00E938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Termin realizacji: max 4 tygodnie</w:t>
      </w:r>
    </w:p>
    <w:p w14:paraId="5FFFA507" w14:textId="0413AA87" w:rsidR="007D1A15" w:rsidRDefault="007D1A15"/>
    <w:p w14:paraId="0181B325" w14:textId="67C24B76" w:rsidR="00E938A4" w:rsidRDefault="00E938A4"/>
    <w:p w14:paraId="23D5D07A" w14:textId="5CAB98C2" w:rsidR="00E938A4" w:rsidRDefault="00E938A4"/>
    <w:p w14:paraId="3E102C69" w14:textId="0D847B22" w:rsidR="00E938A4" w:rsidRDefault="00E938A4"/>
    <w:p w14:paraId="2E7489AA" w14:textId="47D20F15" w:rsidR="00E938A4" w:rsidRDefault="00E938A4"/>
    <w:p w14:paraId="609967AD" w14:textId="782B49E3" w:rsidR="00E938A4" w:rsidRDefault="00E938A4"/>
    <w:p w14:paraId="2FBE74D7" w14:textId="38951AD2" w:rsidR="00E938A4" w:rsidRDefault="00E938A4"/>
    <w:p w14:paraId="4B32C567" w14:textId="75CBD575" w:rsidR="00E938A4" w:rsidRDefault="00E938A4"/>
    <w:p w14:paraId="27C8EFED" w14:textId="62A92BD7" w:rsidR="00E938A4" w:rsidRDefault="00E938A4"/>
    <w:p w14:paraId="0F03C1A8" w14:textId="1E2908C0" w:rsidR="00E938A4" w:rsidRDefault="00E938A4"/>
    <w:p w14:paraId="27416280" w14:textId="126C9D8C" w:rsidR="00E938A4" w:rsidRDefault="00E938A4"/>
    <w:p w14:paraId="6BE4BD8D" w14:textId="3B1EE54D" w:rsidR="00E938A4" w:rsidRDefault="00E938A4"/>
    <w:p w14:paraId="2B4F80E2" w14:textId="77777777" w:rsidR="008F0927" w:rsidRDefault="008F0927"/>
    <w:p w14:paraId="2FF07936" w14:textId="7BACFF78" w:rsidR="00E938A4" w:rsidRDefault="00E938A4"/>
    <w:p w14:paraId="4B8B975C" w14:textId="525AAC5A" w:rsidR="00E938A4" w:rsidRPr="00D46B65" w:rsidRDefault="00E938A4" w:rsidP="00F34DC7">
      <w:pPr>
        <w:spacing w:after="360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46B6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Szczegółowy opis przedmiotu zamówienia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310"/>
        <w:gridCol w:w="6414"/>
      </w:tblGrid>
      <w:tr w:rsidR="00E938A4" w:rsidRPr="00F915FF" w14:paraId="702D2075" w14:textId="77777777" w:rsidTr="00F34DC7">
        <w:trPr>
          <w:trHeight w:val="35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3A7F29" w14:textId="77777777" w:rsidR="00E938A4" w:rsidRPr="00F915FF" w:rsidRDefault="00E938A4" w:rsidP="008D1D3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Tabela nr 1 - Zestaw komputerowy 14” STD</w:t>
            </w:r>
          </w:p>
        </w:tc>
      </w:tr>
      <w:tr w:rsidR="00E938A4" w:rsidRPr="00F915FF" w14:paraId="10D799CE" w14:textId="77777777" w:rsidTr="00F34DC7">
        <w:trPr>
          <w:trHeight w:val="2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431D2C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FC2CD6B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4F50B2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E938A4" w:rsidRPr="00F915FF" w14:paraId="6A29193F" w14:textId="77777777" w:rsidTr="00F34DC7">
        <w:trPr>
          <w:trHeight w:val="75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41ED8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2858" w14:textId="77777777" w:rsidR="00E938A4" w:rsidRPr="00F915FF" w:rsidRDefault="00E938A4" w:rsidP="008D1D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BD0B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4 rdzenie i 8 wątków oraz musi uzyskać min 10949 punktów w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10 sierpnia 2021 (https://www.cpubenchmark.net)</w:t>
            </w:r>
          </w:p>
        </w:tc>
      </w:tr>
      <w:tr w:rsidR="00E938A4" w:rsidRPr="00F915FF" w14:paraId="0E6DC2A9" w14:textId="77777777" w:rsidTr="00F34DC7">
        <w:trPr>
          <w:trHeight w:val="2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A8650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91A4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0D9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16GB (moduł pamięci 1x16 GB) w standardzie DDR4 lub nowszym o minimalnym taktowaniu 3200MHz</w:t>
            </w:r>
          </w:p>
        </w:tc>
      </w:tr>
      <w:tr w:rsidR="00E938A4" w:rsidRPr="00F915FF" w14:paraId="3D4D4D10" w14:textId="77777777" w:rsidTr="00F34DC7">
        <w:trPr>
          <w:trHeight w:val="2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18E96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C505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10F4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</w:tr>
      <w:tr w:rsidR="00E938A4" w:rsidRPr="00F915FF" w14:paraId="42E57DD4" w14:textId="77777777" w:rsidTr="00F34DC7">
        <w:trPr>
          <w:trHeight w:val="2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325B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BB34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942D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HD</w:t>
            </w:r>
          </w:p>
        </w:tc>
      </w:tr>
      <w:tr w:rsidR="00E938A4" w:rsidRPr="00F915FF" w14:paraId="43CB5E4E" w14:textId="77777777" w:rsidTr="00F34DC7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9150A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1778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33B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podświetlana lub oświetlana</w:t>
            </w:r>
          </w:p>
        </w:tc>
      </w:tr>
      <w:tr w:rsidR="00E938A4" w:rsidRPr="00F915FF" w14:paraId="2B93F9E2" w14:textId="77777777" w:rsidTr="00F34DC7">
        <w:trPr>
          <w:trHeight w:val="6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DBA37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AEB1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868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M.2 512 GB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2E7DCFA7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</w:tr>
      <w:tr w:rsidR="00E938A4" w:rsidRPr="00F915FF" w14:paraId="6B29E171" w14:textId="77777777" w:rsidTr="00F34DC7">
        <w:trPr>
          <w:trHeight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62020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B6157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07CC" w14:textId="77777777" w:rsidR="00E938A4" w:rsidRPr="00F915FF" w:rsidRDefault="00E938A4" w:rsidP="00E938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WLAN 802.11ax lub lepsza, karta sieciowa Gigabit Ethernet 100/1000, wsparcie dla Wake on LAN oraz PXE</w:t>
            </w:r>
          </w:p>
          <w:p w14:paraId="4E71D1A2" w14:textId="77777777" w:rsidR="00E938A4" w:rsidRPr="00F915FF" w:rsidRDefault="00E938A4" w:rsidP="00E938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Wewnętrzna karta WWAN LTE bez Sim Lock</w:t>
            </w:r>
          </w:p>
          <w:p w14:paraId="7F841A5A" w14:textId="77777777" w:rsidR="00E938A4" w:rsidRPr="00F915FF" w:rsidRDefault="00E938A4" w:rsidP="00E938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Instalacja/wymiana karty SIM w standardzie Micro SIM lub Nano SIM bez konieczności rozkręcania obudowy komputera (slot karty SIM dostępny dla użytkownika)</w:t>
            </w:r>
          </w:p>
          <w:p w14:paraId="09F3DB1F" w14:textId="77777777" w:rsidR="00E938A4" w:rsidRPr="00F915FF" w:rsidRDefault="00E938A4" w:rsidP="00E938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Bluetooth 5.1 lub lepsza</w:t>
            </w:r>
          </w:p>
        </w:tc>
      </w:tr>
      <w:tr w:rsidR="00E938A4" w:rsidRPr="00F915FF" w14:paraId="37ADB3C9" w14:textId="77777777" w:rsidTr="00F34DC7">
        <w:trPr>
          <w:trHeight w:val="74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A9A32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4A9A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D8F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2.0 lub nowszy</w:t>
            </w:r>
          </w:p>
        </w:tc>
      </w:tr>
      <w:tr w:rsidR="00E938A4" w:rsidRPr="00F915FF" w14:paraId="1D9C63C9" w14:textId="77777777" w:rsidTr="00F34DC7">
        <w:trPr>
          <w:trHeight w:val="2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6F752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BB56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B51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</w:tr>
      <w:tr w:rsidR="00E938A4" w:rsidRPr="00F915FF" w14:paraId="628D0D38" w14:textId="77777777" w:rsidTr="00F34DC7">
        <w:trPr>
          <w:trHeight w:val="3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CCD3F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9857" w14:textId="77777777" w:rsidR="00E938A4" w:rsidRPr="00F915FF" w:rsidRDefault="00E938A4" w:rsidP="008D1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331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-jonowa 4 komorowa lub większa o minimalnej pojemności 60Wh </w:t>
            </w:r>
          </w:p>
        </w:tc>
      </w:tr>
      <w:tr w:rsidR="00E938A4" w:rsidRPr="00F915FF" w14:paraId="08DAABFC" w14:textId="77777777" w:rsidTr="00F34DC7">
        <w:trPr>
          <w:trHeight w:val="4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0F8D4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D4E6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6D5E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 pamięci micro SD</w:t>
            </w:r>
          </w:p>
        </w:tc>
      </w:tr>
      <w:tr w:rsidR="00E938A4" w:rsidRPr="00F915FF" w14:paraId="3564D1A5" w14:textId="77777777" w:rsidTr="00F34DC7">
        <w:trPr>
          <w:trHeight w:val="1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48730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0F75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DF3D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</w:tr>
      <w:tr w:rsidR="00E938A4" w:rsidRPr="00F915FF" w14:paraId="1E204E5E" w14:textId="77777777" w:rsidTr="00F34DC7">
        <w:trPr>
          <w:trHeight w:val="11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B8067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EAF9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408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</w:tr>
      <w:tr w:rsidR="00E938A4" w:rsidRPr="00F915FF" w14:paraId="787BC55E" w14:textId="77777777" w:rsidTr="00F34DC7">
        <w:trPr>
          <w:trHeight w:val="12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B1F06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0FD5" w14:textId="77777777" w:rsidR="00E938A4" w:rsidRPr="00F915FF" w:rsidRDefault="00E938A4" w:rsidP="008D1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260" w14:textId="77777777" w:rsidR="00E938A4" w:rsidRPr="00F915FF" w:rsidRDefault="00E938A4" w:rsidP="008D1D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Preinstalowany system operacyjny Microsoft Windows 10 Professional PL 64 bit, nie wymagający aktywacji za pomocą telefonu lub Internetu.</w:t>
            </w:r>
          </w:p>
          <w:p w14:paraId="3777581B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jest zastosowanie równoważnego systemu operacyjnego w zakresie wyszczególnionym w tabeli nr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Zakres równoważności dla systemu operacyjnego.</w:t>
            </w:r>
          </w:p>
        </w:tc>
      </w:tr>
      <w:tr w:rsidR="00E938A4" w:rsidRPr="00F915FF" w14:paraId="0D839260" w14:textId="77777777" w:rsidTr="00F34DC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FA4E1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1DC8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7DE3" w14:textId="77777777" w:rsidR="00E938A4" w:rsidRPr="00F915FF" w:rsidRDefault="00E938A4" w:rsidP="00E938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LAN - RJ45 </w:t>
            </w:r>
          </w:p>
          <w:p w14:paraId="645E4D99" w14:textId="77777777" w:rsidR="00E938A4" w:rsidRPr="00F915FF" w:rsidRDefault="00E938A4" w:rsidP="00E938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minimum 2xUSB 3.2 Gen 1 Type-A</w:t>
            </w:r>
          </w:p>
          <w:p w14:paraId="10D3C226" w14:textId="77777777" w:rsidR="00E938A4" w:rsidRPr="00F915FF" w:rsidRDefault="00E938A4" w:rsidP="00E938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minimum 1xUSB 4/Thunderbolt 4</w:t>
            </w:r>
          </w:p>
          <w:p w14:paraId="26CBDDEF" w14:textId="77777777" w:rsidR="00E938A4" w:rsidRPr="00F915FF" w:rsidRDefault="00E938A4" w:rsidP="00E938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HDMI 1.4 lub wyższy</w:t>
            </w:r>
          </w:p>
          <w:p w14:paraId="760DE127" w14:textId="77777777" w:rsidR="00E938A4" w:rsidRPr="00F915FF" w:rsidRDefault="00E938A4" w:rsidP="00E938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Gniazdo słuchawkowe (mikrofon/słuchawki)</w:t>
            </w:r>
          </w:p>
        </w:tc>
      </w:tr>
      <w:tr w:rsidR="00E938A4" w:rsidRPr="00C47543" w14:paraId="576523B3" w14:textId="77777777" w:rsidTr="00F34DC7">
        <w:trPr>
          <w:trHeight w:val="6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3346F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4BB6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403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3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</w:tr>
      <w:tr w:rsidR="00E938A4" w:rsidRPr="00F915FF" w14:paraId="5F66A22E" w14:textId="77777777" w:rsidTr="00F34DC7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76510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0B40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7A6E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komputera przenośnego z oferowaną baterią to 1.6 kg</w:t>
            </w:r>
          </w:p>
        </w:tc>
      </w:tr>
      <w:tr w:rsidR="00E938A4" w:rsidRPr="00F915FF" w14:paraId="77AD6F33" w14:textId="77777777" w:rsidTr="00F34DC7">
        <w:trPr>
          <w:trHeight w:val="41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689ED7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2A007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22B8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pozwalające na zastosowanie linki zabezpieczającej / antykradzieżowej</w:t>
            </w:r>
          </w:p>
        </w:tc>
      </w:tr>
      <w:tr w:rsidR="00E938A4" w:rsidRPr="00F915FF" w14:paraId="1C272F24" w14:textId="77777777" w:rsidTr="00F34DC7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8FF375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BBA20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Stacja dokująca z zasilaczem w pełni kompatybilna z dostarczonym komputerem. Kompatybilność powinna być potwierdzona przez producenta komputera (np. na stronie internetowej producenta).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049A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Połączenie stacji dokującej z komputerem za pomocą portu USB-C lub dedykowanego portu pozwalającego na ładowanie baterii. Minimalna ilość portów/slotów w stacji:</w:t>
            </w:r>
          </w:p>
          <w:p w14:paraId="0537227B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2 x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</w:p>
          <w:p w14:paraId="2F3277BD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 (w przypadku braku tego portu dodatkowy adapter pozwalający podłączyć monitor ze złączem HDMI (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=&gt; HDMI)</w:t>
            </w:r>
          </w:p>
          <w:p w14:paraId="3E286A32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 - RJ 45</w:t>
            </w:r>
          </w:p>
          <w:p w14:paraId="2F7EE684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3 x USB-A 3.0 lub wyższe</w:t>
            </w:r>
          </w:p>
          <w:p w14:paraId="325E3470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 x USB-C</w:t>
            </w:r>
          </w:p>
          <w:p w14:paraId="630E8866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słuchawkowe</w:t>
            </w:r>
          </w:p>
          <w:p w14:paraId="3F93977B" w14:textId="77777777" w:rsidR="00E938A4" w:rsidRPr="00F915FF" w:rsidRDefault="00E938A4" w:rsidP="00E938A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</w:t>
            </w:r>
          </w:p>
        </w:tc>
      </w:tr>
      <w:tr w:rsidR="00E938A4" w:rsidRPr="00F915FF" w14:paraId="22B59F4B" w14:textId="77777777" w:rsidTr="00F34DC7">
        <w:trPr>
          <w:trHeight w:val="449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48294F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57C23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82CA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bezprzewodowy składający się z klawiatury w układzie QWERTY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myszy z rolką przewijania, zasilane bateryjnie (AA/AAA), komunikacja za pomocą jednego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nanoodbiornika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8A4" w:rsidRPr="00F915FF" w14:paraId="7C764E6F" w14:textId="77777777" w:rsidTr="00F34DC7">
        <w:trPr>
          <w:trHeight w:val="702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ACC28F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0B845" w14:textId="77777777" w:rsidR="00E938A4" w:rsidRPr="00BE77A8" w:rsidRDefault="00E938A4" w:rsidP="008D1D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77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A247A" w14:textId="77777777" w:rsidR="00E938A4" w:rsidRPr="00BE77A8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7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</w:t>
            </w:r>
          </w:p>
        </w:tc>
      </w:tr>
    </w:tbl>
    <w:p w14:paraId="61ABEAAA" w14:textId="77777777" w:rsidR="00E938A4" w:rsidRPr="00F915FF" w:rsidRDefault="00E938A4" w:rsidP="00E938A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26"/>
        <w:gridCol w:w="6588"/>
      </w:tblGrid>
      <w:tr w:rsidR="00E938A4" w:rsidRPr="00F915FF" w14:paraId="5B3293D6" w14:textId="77777777" w:rsidTr="00F34DC7">
        <w:trPr>
          <w:trHeight w:val="352"/>
        </w:trPr>
        <w:tc>
          <w:tcPr>
            <w:tcW w:w="9214" w:type="dxa"/>
            <w:gridSpan w:val="2"/>
            <w:shd w:val="clear" w:color="auto" w:fill="BFBFBF"/>
          </w:tcPr>
          <w:p w14:paraId="1B565CCB" w14:textId="77777777" w:rsidR="00E938A4" w:rsidRPr="00F915FF" w:rsidRDefault="00E938A4" w:rsidP="008D1D3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2 - 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Monitory LCD 24”</w:t>
            </w:r>
          </w:p>
        </w:tc>
      </w:tr>
      <w:tr w:rsidR="00E938A4" w:rsidRPr="00F915FF" w14:paraId="02318309" w14:textId="77777777" w:rsidTr="00F34DC7">
        <w:trPr>
          <w:trHeight w:val="292"/>
        </w:trPr>
        <w:tc>
          <w:tcPr>
            <w:tcW w:w="2626" w:type="dxa"/>
            <w:shd w:val="clear" w:color="auto" w:fill="BFBFBF"/>
            <w:vAlign w:val="center"/>
          </w:tcPr>
          <w:p w14:paraId="3E5E6C82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588" w:type="dxa"/>
            <w:shd w:val="clear" w:color="auto" w:fill="BFBFBF"/>
            <w:vAlign w:val="center"/>
          </w:tcPr>
          <w:p w14:paraId="4775830E" w14:textId="77777777" w:rsidR="00E938A4" w:rsidRPr="00F915FF" w:rsidRDefault="00E938A4" w:rsidP="008D1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</w:tr>
      <w:tr w:rsidR="00E938A4" w:rsidRPr="00F915FF" w14:paraId="2FD05994" w14:textId="77777777" w:rsidTr="00F34DC7">
        <w:trPr>
          <w:trHeight w:val="757"/>
        </w:trPr>
        <w:tc>
          <w:tcPr>
            <w:tcW w:w="2626" w:type="dxa"/>
            <w:shd w:val="clear" w:color="auto" w:fill="auto"/>
          </w:tcPr>
          <w:p w14:paraId="407CA6AB" w14:textId="77777777" w:rsidR="00E938A4" w:rsidRPr="00F915FF" w:rsidRDefault="00E938A4" w:rsidP="008D1D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15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588" w:type="dxa"/>
            <w:shd w:val="clear" w:color="auto" w:fill="auto"/>
          </w:tcPr>
          <w:p w14:paraId="0912C30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o minimalnej przekątnej 23.8", rozdzielczość minimalna 1920x1080. Statyczny współczynnik kontrastu 1000:1, Czas reakcji maksymalnie 5 ms (szary do szarego szybki). Matryca matowa IPS z podświetleniem LED w układzie 16:9 lub 16:10. Podstawa z regulacją wysokości oraz funkcja obrotu ekranu o 90 stopni. Wymagane złącza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HDMI, VGA oraz cyfrowy kabel dopasowany do oferowanej stacji dokującej pozwalający na wyświetlenie natywnej rozdzielczości monitora.</w:t>
            </w:r>
          </w:p>
        </w:tc>
      </w:tr>
    </w:tbl>
    <w:p w14:paraId="229F123E" w14:textId="4AE95027" w:rsidR="00E938A4" w:rsidRDefault="00E938A4"/>
    <w:tbl>
      <w:tblPr>
        <w:tblW w:w="921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28"/>
        <w:gridCol w:w="6550"/>
      </w:tblGrid>
      <w:tr w:rsidR="00E938A4" w:rsidRPr="00F915FF" w14:paraId="7B8B46C6" w14:textId="77777777" w:rsidTr="00F34DC7">
        <w:trPr>
          <w:trHeight w:val="34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76A38DFE" w14:textId="0DC31901" w:rsidR="00E938A4" w:rsidRPr="00F915FF" w:rsidRDefault="00E938A4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column"/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990E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</w:t>
            </w:r>
            <w:r w:rsidRPr="00F91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938A4" w:rsidRPr="00F915FF" w14:paraId="66CFD21B" w14:textId="77777777" w:rsidTr="00F34DC7">
        <w:trPr>
          <w:trHeight w:val="292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92723B9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D924B8B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068FD72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E938A4" w:rsidRPr="00F915FF" w14:paraId="7B0376ED" w14:textId="77777777" w:rsidTr="00F34DC7">
        <w:trPr>
          <w:trHeight w:val="251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DBC51E4" w14:textId="10A306F8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9E69E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Pakiet biurowy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08C3D" w14:textId="77777777" w:rsidR="00E938A4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Office LTSC Standard 2021 – </w:t>
            </w:r>
            <w:proofErr w:type="spellStart"/>
            <w:r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</w:t>
            </w:r>
            <w:proofErr w:type="spellEnd"/>
            <w:r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121068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jest zastosowanie równoważnego pakietu biurowego w zakresie wyszczególnionym w tabeli nr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pozycji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.2- Zakres równoważności dla pakietu biurowego </w:t>
            </w:r>
            <w:r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Office LTSC Standard 2021 – </w:t>
            </w:r>
            <w:proofErr w:type="spellStart"/>
            <w:r w:rsidRPr="008C08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(Zamawiający prowadzi działalność o charakterze komercyjnym) </w:t>
            </w:r>
          </w:p>
        </w:tc>
      </w:tr>
      <w:tr w:rsidR="00E938A4" w:rsidRPr="00F915FF" w14:paraId="385C5216" w14:textId="77777777" w:rsidTr="00F34DC7">
        <w:trPr>
          <w:trHeight w:val="310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4EF649CC" w14:textId="594F1622" w:rsidR="00E938A4" w:rsidRPr="00F915FF" w:rsidRDefault="00990E6A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E938A4"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8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979FFEF" w14:textId="77777777" w:rsidR="00E938A4" w:rsidRPr="00F915FF" w:rsidRDefault="00E938A4" w:rsidP="008D1D3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Zakres równoważności dla pakietu biurowego </w:t>
            </w:r>
            <w:r w:rsidRPr="008C08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Office LTSC Standard 2021 – </w:t>
            </w:r>
            <w:proofErr w:type="spellStart"/>
            <w:r w:rsidRPr="008C08E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Educational</w:t>
            </w:r>
            <w:proofErr w:type="spellEnd"/>
          </w:p>
        </w:tc>
      </w:tr>
      <w:tr w:rsidR="00E938A4" w:rsidRPr="00F915FF" w14:paraId="70C3C525" w14:textId="77777777" w:rsidTr="00F34DC7">
        <w:trPr>
          <w:trHeight w:val="1134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C5DCCD" w14:textId="4A10FF7A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B470E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wspólne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C0BE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wymagania Zamawiającego dla interfejsu użytkownika: </w:t>
            </w:r>
          </w:p>
          <w:p w14:paraId="4840BF4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pełna polska wersja językowa interfejsu użytkownika </w:t>
            </w:r>
          </w:p>
          <w:p w14:paraId="76F61EDD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integracja uwierzytelniania użytkowników z usługą katalogową Microsoft Active Directory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14:paraId="5B0B06F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wykorzystanie tej samej licencji na komputerze stacjonarnym oraz w środowisku terminalowym Zamawiającego </w:t>
            </w:r>
          </w:p>
          <w:p w14:paraId="5116DCD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c) automatyczna instalacja komponentów (przy użyciu instalatora systemowego), </w:t>
            </w:r>
          </w:p>
          <w:p w14:paraId="75220268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d) zdalna instalacja pakietu poprzez zasady grup (GPO), </w:t>
            </w:r>
          </w:p>
          <w:p w14:paraId="34C350B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e) całkowicie zlokalizowany w języku polskim system komunikatów i podręcznej pomocy technicznej w pakiecie,</w:t>
            </w:r>
          </w:p>
          <w:p w14:paraId="43FD070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f) prawo do (w okresie przynajmniej 5 lat) instalacji udostępnianych przez producenta poprawek w ramach wynagrodzenia. </w:t>
            </w:r>
          </w:p>
          <w:p w14:paraId="5D02688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g) Wsparcie dla formatu XML, </w:t>
            </w:r>
          </w:p>
          <w:p w14:paraId="40703771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h) funkcjonalność pozwalająca na nadawania uprawnień do modyfikacji dokumentów tworzonych za pomocą aplikacji wchodzących w skład pakietów </w:t>
            </w:r>
          </w:p>
          <w:p w14:paraId="2C0BB954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i) automatyczne wypisywanie hiperłączy </w:t>
            </w:r>
          </w:p>
          <w:p w14:paraId="58D185B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j) funkcja automatycznego odświeżania danych pochodzących z Internetu w arkuszach kalkulacyjnych, </w:t>
            </w:r>
          </w:p>
          <w:p w14:paraId="79045C4E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k) funkcjonalność pozwalająca na dodawania do dokumentów i arkuszy kalkulacyjnych podpisów cyfrowych, pozwalających na stwierdzenie czy dany dokument/arkusz pochodzi z bezpiecznego źródła i nie został w żaden sposób zmieniony, </w:t>
            </w:r>
          </w:p>
          <w:p w14:paraId="37560277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l) automatyczne odzyskiwanie dokumentów i arkuszy kalkulacyjnych w wypadku nieoczekiwanego zamknięcia aplikacji spowodowanego zanikiem prądu </w:t>
            </w:r>
          </w:p>
          <w:p w14:paraId="79A958E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m) prawidłowe odczytywanie i zapisywanie danych w dokumentach w formatach .DOC, .DOCX, XLS, .XLSX, .PPT, .PPTX, w tym obsługa formatowania, makr, formuł, formularzy w plikach wytworzonych w MS Office 2007 i MS Office 2010</w:t>
            </w:r>
          </w:p>
        </w:tc>
      </w:tr>
      <w:tr w:rsidR="00E938A4" w:rsidRPr="00F915FF" w14:paraId="5073FCCD" w14:textId="77777777" w:rsidTr="00F34DC7">
        <w:trPr>
          <w:trHeight w:val="1134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6EFDC7" w14:textId="0925BF18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0A6CF9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Tworzenie i edycja dokumentów elektronicznych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35058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tworzenie i edycja dokumentów elektronicznych w formacie, który spełnia następujące warunki: </w:t>
            </w:r>
          </w:p>
          <w:p w14:paraId="432E092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posiada kompletny i publicznie dostępny opis formatu, </w:t>
            </w:r>
          </w:p>
          <w:p w14:paraId="5822C89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ma zdefiniowany układ informacji w postaci XML zgodnie z Tabelą B1 załącznika 2 Rozporządzenia w sprawie minimalnych wymagań dla systemów teleinformatycznych (Dz.U.05.212.1766) </w:t>
            </w:r>
          </w:p>
          <w:p w14:paraId="4975CFA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umożliwia wykorzystanie schematów XML </w:t>
            </w:r>
          </w:p>
          <w:p w14:paraId="47ACE7A1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− wspiera w swojej specyfikacji podpis elektroniczny zgodnie z Tabelą A.1.1 załącznika 2 Rozporządzenia w sprawie minimalnych wymagań dla systemów teleinformatycznych (Dz.U.05.212.1766) </w:t>
            </w:r>
          </w:p>
          <w:p w14:paraId="4F3EE5C7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zawiera narzędzia programistyczne umożliwiające automatyzację pracy i wymianę danych pomiędzy dokumentami i aplikacjami (język makropoleceń, język skryptowy) </w:t>
            </w:r>
          </w:p>
          <w:p w14:paraId="3B01D86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Umożliwia tworzenie drukowanych materiałów informacyjnych poprzez: </w:t>
            </w:r>
          </w:p>
          <w:p w14:paraId="50D81B2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i edycję drukowanych materiałów informacyjnych </w:t>
            </w:r>
          </w:p>
          <w:p w14:paraId="0D97377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materiałów przy użyciu dostępnych z narzędziem szablonów: broszur, biuletynów, katalogów. </w:t>
            </w:r>
          </w:p>
          <w:p w14:paraId="7D37607D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Edycję poszczególnych stron materiałów. </w:t>
            </w:r>
          </w:p>
          <w:p w14:paraId="507D853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Podział treści na kolumny. </w:t>
            </w:r>
          </w:p>
          <w:p w14:paraId="7A6C2E5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elementów graficznych. </w:t>
            </w:r>
          </w:p>
          <w:p w14:paraId="233BF6D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Wykorzystanie mechanizmu korespondencji seryjnej </w:t>
            </w:r>
          </w:p>
          <w:p w14:paraId="4E79413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Płynne przesuwanie elementów po całej stronie publikacji. </w:t>
            </w:r>
          </w:p>
          <w:p w14:paraId="1CC6B94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Eksport publikacji do formatu PDF oraz TIFF. </w:t>
            </w:r>
          </w:p>
          <w:p w14:paraId="0EBF001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Wydruk publikacji. </w:t>
            </w:r>
          </w:p>
        </w:tc>
      </w:tr>
      <w:tr w:rsidR="00E938A4" w:rsidRPr="00F915FF" w14:paraId="683C7B74" w14:textId="77777777" w:rsidTr="00F34DC7">
        <w:trPr>
          <w:trHeight w:val="1689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B61B05" w14:textId="0820B20C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.2.3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373A6D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edytora tekstów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9367E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Edycja i formatowanie tekstu w języku polskim wraz z obsługą języka polskiego w zakresie sprawdzania pisowni i poprawności gramatycznej oraz funkcjonalnością słownika wyrazów bliskoznacznych i autokorekty; </w:t>
            </w:r>
          </w:p>
          <w:p w14:paraId="083C8A3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oraz formatowanie tabel; </w:t>
            </w:r>
          </w:p>
          <w:p w14:paraId="159039C7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oraz formatowanie obiektów graficznych; </w:t>
            </w:r>
          </w:p>
          <w:p w14:paraId="5905452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Wstawianie wykresów i tabel z arkusza kalkulacyjnego (wliczając tabele przestawne); </w:t>
            </w:r>
          </w:p>
          <w:p w14:paraId="3A3BF74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Automatyczne numerowanie rozdziałów, punktów, akapitów, tabel i rysunków; </w:t>
            </w:r>
          </w:p>
          <w:p w14:paraId="2989A15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Automatyczne tworzenie spisów treści; </w:t>
            </w:r>
          </w:p>
          <w:p w14:paraId="1FFFD5A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Formatowanie nagłówków i stopek stron; </w:t>
            </w:r>
          </w:p>
          <w:p w14:paraId="34B37CD2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Śledzenie zmian wprowadzonych przez użytkowników;  </w:t>
            </w:r>
          </w:p>
          <w:p w14:paraId="64C85D6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− Nagrywanie, tworzenie i edycję makr automatyzujących wykonywanie czynności; </w:t>
            </w:r>
          </w:p>
          <w:p w14:paraId="75B32AF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Określenie układu strony (pionowa/pozioma); </w:t>
            </w:r>
          </w:p>
          <w:p w14:paraId="7583AEE0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Wydruk dokumentów; </w:t>
            </w:r>
          </w:p>
          <w:p w14:paraId="57D8B84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Pracę na dokumentach utworzonych przy pomocy Microsoft Word 2007 i 2010 z zapewnieniem bezproblemowej konwersji wszystkich elementów i atrybutów dokumentu; </w:t>
            </w:r>
          </w:p>
          <w:p w14:paraId="3022E4E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Zabezpieczenie dokumentów hasłem przed odczytem oraz przed wprowadzaniem modyfikacji; </w:t>
            </w:r>
          </w:p>
          <w:p w14:paraId="45B40241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Wymagana jest dostępność do oferowanego edytora tekstu narzędzi umożliwiających wykorzystanie go, jako środowiska udostępniającego formularze i pozwalające zapisać plik wynikowy w zgodzie z Rozporządzeniem o Aktach Normatywnych i Prawnych. </w:t>
            </w:r>
          </w:p>
          <w:p w14:paraId="25C7420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      </w:r>
          </w:p>
        </w:tc>
      </w:tr>
      <w:tr w:rsidR="00E938A4" w:rsidRPr="00F915FF" w14:paraId="1A5AEC4C" w14:textId="77777777" w:rsidTr="00F34DC7">
        <w:trPr>
          <w:trHeight w:val="1134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58EF79" w14:textId="695B1DEB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.2.4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E7E919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arkusza kalkulacyjnego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62C8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tabelarycznych; </w:t>
            </w:r>
          </w:p>
          <w:p w14:paraId="45477669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wykresów liniowych (wraz z linią trendu), słupkowych, kołowych; </w:t>
            </w:r>
          </w:p>
          <w:p w14:paraId="61967089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arkuszy kalkulacyjnych zawierających teksty, dane liczbowe oraz formuły przeprowadzające operacje matematyczne, logiczne, tekstowe, statystyczne oraz operacje na danych finansowych i na miarach czasu; </w:t>
            </w:r>
          </w:p>
          <w:p w14:paraId="6368222A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z zewnętrznych źródeł danych (inne arkusze kalkulacyjne, bazy danych zgodne z ODBC, pliki tekstowe, pliki XML,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webservice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); </w:t>
            </w:r>
          </w:p>
          <w:p w14:paraId="2CF3A2C4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Obsługę kostek OLAP oraz tworzenie i edycję kwerend bazodanowych i webowych. Narzędzia wspomagające analizę statystyczną i finansową, analizę wariantową i rozwiązywanie problemów optymalizacyjnych; </w:t>
            </w:r>
          </w:p>
          <w:p w14:paraId="19B7F63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raportów tabeli przestawnych umożliwiających dynamiczną zmianę wymiarów oraz wykresów bazujących na danych z tabeli przestawnych; </w:t>
            </w:r>
          </w:p>
          <w:p w14:paraId="416CB07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Wyszukiwanie i zamianę danych; </w:t>
            </w:r>
          </w:p>
          <w:p w14:paraId="01BA5F9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Wykonywanie analiz danych przy użyciu formatowania warunkowego; </w:t>
            </w:r>
          </w:p>
          <w:p w14:paraId="65F294B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− Nazywanie komórek arkusza i odwoływanie się w formułach po takiej nazwie; </w:t>
            </w:r>
          </w:p>
          <w:p w14:paraId="2641629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Nagrywanie, tworzenie i edycję makr automatyzujących wykonywanie czynności; </w:t>
            </w:r>
          </w:p>
          <w:p w14:paraId="3571223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Formatowanie czasu, daty i wartości finansowych z polskim formatem; </w:t>
            </w:r>
          </w:p>
          <w:p w14:paraId="503A5126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Zapis wielu arkuszy kalkulacyjnych w jednym pliku; </w:t>
            </w:r>
          </w:p>
          <w:p w14:paraId="68480F58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Zachowanie pełnej zgodności z formatami plików utworzonych za pomocą oprogramowania Microsoft Excel 2007 i 2010, z uwzględnieniem poprawnej realizacji użytych w nich funkcji specjalnych i makropoleceń; </w:t>
            </w:r>
          </w:p>
          <w:p w14:paraId="2F819C6E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Zabezpieczenie dokumentów hasłem przed odczytem oraz przed wprowadzaniem modyfikacji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  <w:tr w:rsidR="00E938A4" w:rsidRPr="00F915FF" w14:paraId="332CAC30" w14:textId="77777777" w:rsidTr="00F34DC7">
        <w:trPr>
          <w:trHeight w:val="1134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27EC43" w14:textId="6797BCFA" w:rsidR="00E938A4" w:rsidRPr="00F915FF" w:rsidRDefault="00990E6A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 w:rsidR="00E938A4"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.2.5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9F9935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 dla narzędzie do przygotowywania i prowadzenia prezentacji multimedialnych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58269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Drukowanie w formacie umożliwiającym robienie notatek; </w:t>
            </w:r>
          </w:p>
          <w:p w14:paraId="2C28CF3C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Zapisanie jako prezentacja tylko do odczytu;</w:t>
            </w:r>
          </w:p>
          <w:p w14:paraId="34A3098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Nagrywanie narracji i dołączanie jej do prezentacji; </w:t>
            </w:r>
          </w:p>
          <w:p w14:paraId="6DB0C2D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Opatrywanie slajdów notatkami dla prezentera; </w:t>
            </w:r>
          </w:p>
          <w:p w14:paraId="312F097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i formatowanie tekstów, obiektów graficznych, tabel, nagrań dźwiękowych i wideo; </w:t>
            </w:r>
          </w:p>
          <w:p w14:paraId="748C15E4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Umieszczanie tabel i wykresów pochodzących z arkusza kalkulacyjnego; </w:t>
            </w:r>
          </w:p>
          <w:p w14:paraId="3D30B3FB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Odświeżenie wykresu znajdującego się w prezentacji po zmianie danych w źródłowym arkuszu kalkulacyjnym; </w:t>
            </w:r>
          </w:p>
          <w:p w14:paraId="10756A3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Tworzenie animacji obiektów i całych slajdów; </w:t>
            </w:r>
          </w:p>
          <w:p w14:paraId="03799FFF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− Prowadzenie prezentacji w trybie prezentera, gdzie slajdy są widoczne na jednym monitorze lub projektorze, a na drugim widoczne są slajdy i notatki prezentera; </w:t>
            </w:r>
          </w:p>
          <w:p w14:paraId="6BFBBA73" w14:textId="77777777" w:rsidR="00E938A4" w:rsidRPr="00F915FF" w:rsidRDefault="00E938A4" w:rsidP="008D1D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 Zapewniających zgodność z formatami plików utworzonych za pomocą oprogramowania MS PowerPoint 2007 i 2010.</w:t>
            </w:r>
          </w:p>
        </w:tc>
      </w:tr>
    </w:tbl>
    <w:p w14:paraId="60D053C9" w14:textId="4401CFAC" w:rsidR="004C03B5" w:rsidRDefault="004C03B5"/>
    <w:p w14:paraId="1488E4AC" w14:textId="0A069538" w:rsidR="004C03B5" w:rsidRDefault="004C03B5"/>
    <w:p w14:paraId="39974243" w14:textId="77777777" w:rsidR="004C03B5" w:rsidRDefault="004C03B5"/>
    <w:p w14:paraId="51170E83" w14:textId="7C9488BC" w:rsidR="00990E6A" w:rsidRDefault="00990E6A"/>
    <w:tbl>
      <w:tblPr>
        <w:tblW w:w="921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6521"/>
      </w:tblGrid>
      <w:tr w:rsidR="00990E6A" w:rsidRPr="00F915FF" w14:paraId="5DCD6AF8" w14:textId="77777777" w:rsidTr="00F34DC7">
        <w:trPr>
          <w:trHeight w:val="352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502F714" w14:textId="61E6AAEB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Tabela nr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Zakres równoważności dla systemu operacyjnego Microsoft Windows 10</w:t>
            </w:r>
          </w:p>
        </w:tc>
      </w:tr>
      <w:tr w:rsidR="00990E6A" w:rsidRPr="00F915FF" w14:paraId="4DB33829" w14:textId="77777777" w:rsidTr="00F34DC7">
        <w:trPr>
          <w:trHeight w:val="2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C8D887B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CB9AF19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A7F38D0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990E6A" w:rsidRPr="00F915FF" w14:paraId="5C1DE460" w14:textId="77777777" w:rsidTr="00F34DC7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7E6A5D" w14:textId="22D03530" w:rsidR="00990E6A" w:rsidRPr="00F915FF" w:rsidRDefault="00990E6A" w:rsidP="0009140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  <w:r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C35A15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3D1D6" w14:textId="77777777" w:rsidR="00990E6A" w:rsidRPr="00F915FF" w:rsidRDefault="00990E6A" w:rsidP="0009140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6475E265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197B2CDD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2574CA8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0C8AE913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481C48AE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001D1FB2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78559307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05F6698F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593C581B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7B0CF6BF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3B62EFA7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5D90B3A8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134913A5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75834BB9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48FCED8B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2A31D8B8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5553E1E9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0E0E8409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Możliwość zarządzania stacją roboczą poprzez polityki – przez politykę rozumiemy zestaw reguł definiujących lub ograniczających funkcjonalność systemu lub aplikacji</w:t>
            </w:r>
          </w:p>
          <w:p w14:paraId="5DEBFF52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41AED384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występowanie i używanie (wystawianie) certyfikatów PKI X.509</w:t>
            </w:r>
          </w:p>
          <w:p w14:paraId="6AF549E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F21837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23BDC7B3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42A2D27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7B7171D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4A29A8BD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3B3B2DE8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85CEF8D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505EDEFF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629DB041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567FA2B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79928FBC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06A11B28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6D9B8ABF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0326AA97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7D6B173A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10670B01" w14:textId="77777777" w:rsidR="00990E6A" w:rsidRPr="00F915FF" w:rsidRDefault="00990E6A" w:rsidP="00990E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990E6A" w:rsidRPr="00F915FF" w14:paraId="1A53F3ED" w14:textId="77777777" w:rsidTr="00F34DC7">
        <w:trPr>
          <w:trHeight w:val="6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CF2DDE" w14:textId="0203B853" w:rsidR="00990E6A" w:rsidRPr="00F915FF" w:rsidRDefault="00990E6A" w:rsidP="0009140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41F3BD9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7AF07" w14:textId="77777777" w:rsidR="00990E6A" w:rsidRPr="00F915FF" w:rsidRDefault="00990E6A" w:rsidP="0009140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10, </w:t>
            </w:r>
          </w:p>
          <w:p w14:paraId="02127D0C" w14:textId="77777777" w:rsidR="00990E6A" w:rsidRPr="00F915FF" w:rsidRDefault="00990E6A" w:rsidP="0009140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technicznej. Szkolenia odbędą się w siedzibie Zamawiającego w grupach po max. 10 osób.</w:t>
            </w:r>
          </w:p>
        </w:tc>
      </w:tr>
      <w:tr w:rsidR="00990E6A" w:rsidRPr="00F915FF" w14:paraId="431E8786" w14:textId="77777777" w:rsidTr="00F34DC7">
        <w:trPr>
          <w:trHeight w:val="6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C19847" w14:textId="4867963E" w:rsidR="00990E6A" w:rsidRPr="00F915FF" w:rsidRDefault="00990E6A" w:rsidP="0009140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F91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FBA9B9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43AACE16" w14:textId="77777777" w:rsidR="00990E6A" w:rsidRPr="00F915FF" w:rsidRDefault="00990E6A" w:rsidP="0009140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0FE75" w14:textId="77777777" w:rsidR="00990E6A" w:rsidRPr="00F915FF" w:rsidRDefault="00990E6A" w:rsidP="0009140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 w:rsidRPr="00F91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694E89A2" w14:textId="77777777" w:rsidR="00990E6A" w:rsidRDefault="00990E6A"/>
    <w:sectPr w:rsidR="00990E6A" w:rsidSect="00F34DC7">
      <w:headerReference w:type="default" r:id="rId7"/>
      <w:footerReference w:type="default" r:id="rId8"/>
      <w:pgSz w:w="11906" w:h="16838"/>
      <w:pgMar w:top="1417" w:right="113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25C6" w14:textId="77777777" w:rsidR="005E58DE" w:rsidRDefault="005E58DE" w:rsidP="005E58DE">
      <w:pPr>
        <w:spacing w:after="0" w:line="240" w:lineRule="auto"/>
      </w:pPr>
      <w:r>
        <w:separator/>
      </w:r>
    </w:p>
  </w:endnote>
  <w:endnote w:type="continuationSeparator" w:id="0">
    <w:p w14:paraId="7E2A8F6F" w14:textId="77777777" w:rsidR="005E58DE" w:rsidRDefault="005E58DE" w:rsidP="005E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3FBA" w14:textId="7B07FF7F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Dofinansowano z przedsięwzięcia Ministra Edukacji i Nauki „Branżowe punkty </w:t>
    </w:r>
  </w:p>
  <w:p w14:paraId="13ED7407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kontaktowe dla programu ramowego w zakresie badań naukowych i innowacji Horyzont </w:t>
    </w:r>
  </w:p>
  <w:p w14:paraId="1788DF87" w14:textId="77777777" w:rsidR="004C03B5" w:rsidRPr="00552F43" w:rsidRDefault="004C03B5" w:rsidP="004C03B5">
    <w:pPr>
      <w:pStyle w:val="Stopka"/>
      <w:ind w:right="990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Europa" na podstawie umowy nr </w:t>
    </w:r>
    <w:proofErr w:type="spellStart"/>
    <w:r w:rsidRPr="00552F43">
      <w:rPr>
        <w:rFonts w:ascii="Verdana" w:hAnsi="Verdana"/>
        <w:sz w:val="14"/>
        <w:szCs w:val="14"/>
      </w:rPr>
      <w:t>MEiN</w:t>
    </w:r>
    <w:proofErr w:type="spellEnd"/>
    <w:r w:rsidRPr="00552F43">
      <w:rPr>
        <w:rFonts w:ascii="Verdana" w:hAnsi="Verdana"/>
        <w:sz w:val="14"/>
        <w:szCs w:val="14"/>
      </w:rPr>
      <w:t xml:space="preserve">/2022/BPK/4 </w:t>
    </w:r>
  </w:p>
  <w:p w14:paraId="78F3ED3F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</w:p>
  <w:p w14:paraId="40E1745C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Sieć Badawcza Łukasiewicz – PORT Polski Ośrodek Rozwoju Technologii</w:t>
    </w:r>
  </w:p>
  <w:p w14:paraId="2439CB9C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54-066 Wrocław, ul. </w:t>
    </w:r>
    <w:proofErr w:type="spellStart"/>
    <w:r w:rsidRPr="00552F43">
      <w:rPr>
        <w:rFonts w:ascii="Verdana" w:hAnsi="Verdana"/>
        <w:sz w:val="14"/>
        <w:szCs w:val="14"/>
      </w:rPr>
      <w:t>Stabłowicka</w:t>
    </w:r>
    <w:proofErr w:type="spellEnd"/>
    <w:r w:rsidRPr="00552F43">
      <w:rPr>
        <w:rFonts w:ascii="Verdana" w:hAnsi="Verdana"/>
        <w:sz w:val="14"/>
        <w:szCs w:val="14"/>
      </w:rPr>
      <w:t xml:space="preserve"> 147, Tel: +48 71 734 77 77, Fax: +48 71 720 16 00</w:t>
    </w:r>
    <w:r>
      <w:rPr>
        <w:noProof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EE3CA9B" wp14:editId="43329316">
          <wp:simplePos x="0" y="0"/>
          <wp:positionH relativeFrom="column">
            <wp:posOffset>5238750</wp:posOffset>
          </wp:positionH>
          <wp:positionV relativeFrom="page">
            <wp:posOffset>9324340</wp:posOffset>
          </wp:positionV>
          <wp:extent cx="1230630" cy="848995"/>
          <wp:effectExtent l="0" t="0" r="0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4DF82" w14:textId="77777777" w:rsidR="004C03B5" w:rsidRPr="00552F43" w:rsidRDefault="004C03B5" w:rsidP="004C03B5">
    <w:pPr>
      <w:pStyle w:val="Stopka"/>
      <w:tabs>
        <w:tab w:val="left" w:pos="8625"/>
      </w:tabs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E-mail: biuro@port.lukasiewicz.gov.pl | NIP: 894 314 05 23, REGON: 386585168</w:t>
    </w:r>
    <w:r>
      <w:rPr>
        <w:rFonts w:ascii="Verdana" w:hAnsi="Verdana"/>
        <w:sz w:val="14"/>
        <w:szCs w:val="14"/>
      </w:rPr>
      <w:tab/>
    </w:r>
  </w:p>
  <w:p w14:paraId="653F7523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 xml:space="preserve">Sąd Rejonowy dla Wrocławia – Fabrycznej we Wrocławiu, VI Wydział Gospodarczy KRS, </w:t>
    </w:r>
  </w:p>
  <w:p w14:paraId="4E7DA3AB" w14:textId="77777777" w:rsidR="004C03B5" w:rsidRPr="00552F43" w:rsidRDefault="004C03B5" w:rsidP="004C03B5">
    <w:pPr>
      <w:pStyle w:val="Stopka"/>
      <w:rPr>
        <w:rFonts w:ascii="Verdana" w:hAnsi="Verdana"/>
        <w:sz w:val="14"/>
        <w:szCs w:val="14"/>
      </w:rPr>
    </w:pPr>
    <w:r w:rsidRPr="00552F43">
      <w:rPr>
        <w:rFonts w:ascii="Verdana" w:hAnsi="Verdana"/>
        <w:sz w:val="14"/>
        <w:szCs w:val="14"/>
      </w:rPr>
      <w:t>Nr KRS: 0000850580</w:t>
    </w:r>
  </w:p>
  <w:p w14:paraId="3D65ADB4" w14:textId="34033B55" w:rsidR="004C03B5" w:rsidRDefault="004C03B5">
    <w:pPr>
      <w:pStyle w:val="Stopka"/>
    </w:pPr>
  </w:p>
  <w:p w14:paraId="1E51B488" w14:textId="77777777" w:rsidR="004C03B5" w:rsidRDefault="004C0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37CD" w14:textId="77777777" w:rsidR="005E58DE" w:rsidRDefault="005E58DE" w:rsidP="005E58DE">
      <w:pPr>
        <w:spacing w:after="0" w:line="240" w:lineRule="auto"/>
      </w:pPr>
      <w:r>
        <w:separator/>
      </w:r>
    </w:p>
  </w:footnote>
  <w:footnote w:type="continuationSeparator" w:id="0">
    <w:p w14:paraId="2C7DBAD4" w14:textId="77777777" w:rsidR="005E58DE" w:rsidRDefault="005E58DE" w:rsidP="005E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D077" w14:textId="69D92E06" w:rsidR="005E58DE" w:rsidRDefault="004C03B5" w:rsidP="00F34DC7">
    <w:pPr>
      <w:pStyle w:val="Nagwek"/>
      <w:tabs>
        <w:tab w:val="clear" w:pos="4536"/>
        <w:tab w:val="clear" w:pos="9072"/>
        <w:tab w:val="left" w:pos="5103"/>
      </w:tabs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649744" wp14:editId="13D1A5AD">
          <wp:simplePos x="0" y="0"/>
          <wp:positionH relativeFrom="column">
            <wp:posOffset>-828675</wp:posOffset>
          </wp:positionH>
          <wp:positionV relativeFrom="paragraph">
            <wp:posOffset>1751965</wp:posOffset>
          </wp:positionV>
          <wp:extent cx="1067494" cy="1361839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4" cy="13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8DE"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3DB4D6" wp14:editId="4A9C2676">
          <wp:simplePos x="0" y="0"/>
          <wp:positionH relativeFrom="column">
            <wp:posOffset>-733425</wp:posOffset>
          </wp:positionH>
          <wp:positionV relativeFrom="paragraph">
            <wp:posOffset>56515</wp:posOffset>
          </wp:positionV>
          <wp:extent cx="791625" cy="1609725"/>
          <wp:effectExtent l="0" t="0" r="889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DC7">
      <w:t>Załącznik nr 2.1. do SWZ nr sprawy PO.271.48.2022</w:t>
    </w:r>
    <w:r w:rsidR="00F34D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41794">
    <w:abstractNumId w:val="1"/>
  </w:num>
  <w:num w:numId="2" w16cid:durableId="242643868">
    <w:abstractNumId w:val="2"/>
  </w:num>
  <w:num w:numId="3" w16cid:durableId="1795319687">
    <w:abstractNumId w:val="3"/>
  </w:num>
  <w:num w:numId="4" w16cid:durableId="1627344698">
    <w:abstractNumId w:val="0"/>
  </w:num>
  <w:num w:numId="5" w16cid:durableId="2109613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A4"/>
    <w:rsid w:val="003E4760"/>
    <w:rsid w:val="004C03B5"/>
    <w:rsid w:val="004D30C1"/>
    <w:rsid w:val="005D466A"/>
    <w:rsid w:val="005E58DE"/>
    <w:rsid w:val="007D1A15"/>
    <w:rsid w:val="008F0927"/>
    <w:rsid w:val="00990E6A"/>
    <w:rsid w:val="00B10988"/>
    <w:rsid w:val="00B23DA3"/>
    <w:rsid w:val="00BE77A8"/>
    <w:rsid w:val="00E86C9E"/>
    <w:rsid w:val="00E938A4"/>
    <w:rsid w:val="00EB4A24"/>
    <w:rsid w:val="00F3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895"/>
  <w15:chartTrackingRefBased/>
  <w15:docId w15:val="{026D3D30-102D-4CEF-B713-4DF9516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A4"/>
    <w:pPr>
      <w:spacing w:after="200" w:line="276" w:lineRule="auto"/>
    </w:pPr>
    <w:rPr>
      <w:rFonts w:ascii="Tahoma" w:eastAsia="Calibri" w:hAnsi="Tahoma" w:cs="Tahoma"/>
      <w:color w:val="80828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E938A4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E938A4"/>
    <w:pPr>
      <w:ind w:left="720"/>
      <w:contextualSpacing/>
    </w:pPr>
  </w:style>
  <w:style w:type="paragraph" w:styleId="Poprawka">
    <w:name w:val="Revision"/>
    <w:hidden/>
    <w:uiPriority w:val="99"/>
    <w:semiHidden/>
    <w:rsid w:val="00E86C9E"/>
    <w:pPr>
      <w:spacing w:after="0" w:line="240" w:lineRule="auto"/>
    </w:pPr>
    <w:rPr>
      <w:rFonts w:ascii="Tahoma" w:eastAsia="Calibri" w:hAnsi="Tahoma" w:cs="Tahoma"/>
      <w:color w:val="80828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8DE"/>
    <w:rPr>
      <w:rFonts w:ascii="Tahoma" w:eastAsia="Calibri" w:hAnsi="Tahoma" w:cs="Tahoma"/>
      <w:color w:val="80828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8DE"/>
    <w:rPr>
      <w:rFonts w:ascii="Tahoma" w:eastAsia="Calibri" w:hAnsi="Tahoma" w:cs="Tahoma"/>
      <w:color w:val="80828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Sobota | Łukasiewicz - PORT</dc:creator>
  <cp:keywords/>
  <dc:description/>
  <cp:lastModifiedBy>Katarzyna Gorzeja | Łukasiewicz - PORT Polski Ośrodek Rozwoju Technologii</cp:lastModifiedBy>
  <cp:revision>8</cp:revision>
  <cp:lastPrinted>2022-08-23T12:18:00Z</cp:lastPrinted>
  <dcterms:created xsi:type="dcterms:W3CDTF">2022-08-23T12:01:00Z</dcterms:created>
  <dcterms:modified xsi:type="dcterms:W3CDTF">2022-09-28T10:20:00Z</dcterms:modified>
</cp:coreProperties>
</file>