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6990AAAE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</w:t>
      </w:r>
      <w:r w:rsidR="00913EF3"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</w:t>
      </w:r>
      <w:r w:rsidRPr="004E13CD">
        <w:rPr>
          <w:rFonts w:eastAsia="Times New Roman" w:cs="Tahoma"/>
          <w:bCs/>
          <w:iCs/>
          <w:color w:val="auto"/>
          <w:szCs w:val="20"/>
        </w:rPr>
        <w:br/>
      </w:r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60ABDB9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64DEC92A" w14:textId="37E80007" w:rsidR="002C602C" w:rsidRPr="004E13CD" w:rsidRDefault="002C602C" w:rsidP="00700A0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5A55EDB9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3"/>
        <w:gridCol w:w="1468"/>
        <w:gridCol w:w="1363"/>
        <w:gridCol w:w="1323"/>
        <w:gridCol w:w="1404"/>
        <w:gridCol w:w="1338"/>
      </w:tblGrid>
      <w:tr w:rsidR="002C602C" w:rsidRPr="004E13CD" w14:paraId="77813F2A" w14:textId="77777777" w:rsidTr="00700A0E">
        <w:tc>
          <w:tcPr>
            <w:tcW w:w="897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700A0E">
        <w:tc>
          <w:tcPr>
            <w:tcW w:w="897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ramach jego oferty lub wniosku w postępowaniu)</w:t>
            </w:r>
          </w:p>
        </w:tc>
        <w:tc>
          <w:tcPr>
            <w:tcW w:w="932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700A0E">
        <w:tc>
          <w:tcPr>
            <w:tcW w:w="897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700A0E">
        <w:tc>
          <w:tcPr>
            <w:tcW w:w="897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(np. osoby faktycznie dokonujące prac instalacji zakupionego sprzętu na terenie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Administratora)</w:t>
            </w:r>
          </w:p>
        </w:tc>
        <w:tc>
          <w:tcPr>
            <w:tcW w:w="828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jakiej roli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działa ta druga osoba etc.</w:t>
            </w:r>
          </w:p>
        </w:tc>
        <w:tc>
          <w:tcPr>
            <w:tcW w:w="782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A5516F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2DFF2BED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</w:p>
    <w:sectPr w:rsidR="004E13CD" w:rsidSect="00FC37AE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337D" w14:textId="77777777" w:rsidR="00AB7AAB" w:rsidRDefault="00AB7AAB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AB7AAB" w:rsidRDefault="00AB7AA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13EF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 w:rsidR="00913EF3">
              <w:rPr>
                <w:b w:val="0"/>
                <w:bCs/>
                <w:noProof/>
              </w:rPr>
              <w:t>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13EF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13EF3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F4D7" w14:textId="77777777" w:rsidR="00AB7AAB" w:rsidRDefault="00AB7AAB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AB7AAB" w:rsidRDefault="00AB7AA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9013" w14:textId="71F59CF8" w:rsidR="00AB7AAB" w:rsidRPr="00DA52A1" w:rsidRDefault="00AB7AA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742BB27" wp14:editId="7693D28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3"/>
    <w:lvlOverride w:ilvl="0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8"/>
  </w:num>
  <w:num w:numId="32">
    <w:abstractNumId w:val="32"/>
  </w:num>
  <w:num w:numId="33">
    <w:abstractNumId w:val="36"/>
  </w:num>
  <w:num w:numId="34">
    <w:abstractNumId w:val="5"/>
  </w:num>
  <w:num w:numId="35">
    <w:abstractNumId w:val="28"/>
  </w:num>
  <w:num w:numId="36">
    <w:abstractNumId w:val="1"/>
  </w:num>
  <w:num w:numId="37">
    <w:abstractNumId w:val="6"/>
  </w:num>
  <w:num w:numId="38">
    <w:abstractNumId w:val="20"/>
  </w:num>
  <w:num w:numId="39">
    <w:abstractNumId w:val="30"/>
  </w:num>
  <w:num w:numId="40">
    <w:abstractNumId w:val="16"/>
  </w:num>
  <w:num w:numId="41">
    <w:abstractNumId w:val="2"/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404"/>
    <w:rsid w:val="00010237"/>
    <w:rsid w:val="000117A6"/>
    <w:rsid w:val="00013AF9"/>
    <w:rsid w:val="0001666F"/>
    <w:rsid w:val="00027399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3584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A4520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3F5D5D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A6CA5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1A3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3EF3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80932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B7AA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46626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4805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2BC4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7AE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28F09-EE9E-4700-8D6C-3C4A7E1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…………/2021/UZ</dc:title>
  <dc:subject>Dostawa aparatu do automatycznej izolacji RNA, DN; nr sprawy PO.271.5.2021</dc:subject>
  <dc:creator/>
  <cp:lastModifiedBy/>
  <cp:revision>1</cp:revision>
  <dcterms:created xsi:type="dcterms:W3CDTF">2021-03-04T12:56:00Z</dcterms:created>
  <dcterms:modified xsi:type="dcterms:W3CDTF">2021-04-14T16:06:00Z</dcterms:modified>
</cp:coreProperties>
</file>