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58" w:rsidRDefault="00A83EAC" w:rsidP="00266761">
      <w:pPr>
        <w:spacing w:after="54" w:line="264" w:lineRule="auto"/>
        <w:ind w:left="77" w:right="0" w:firstLine="406"/>
      </w:pPr>
      <w:r>
        <w:rPr>
          <w:b/>
        </w:rPr>
        <w:t xml:space="preserve">Świadczenie usług pocztowych w obrocie krajowym i zagranicznym, w zakresie przyjmowania, przemieszczania i doręczania przesyłek oraz ich ewentualnych zwrotów na potrzeby Urzędu Gminy Białe Błota  </w:t>
      </w:r>
    </w:p>
    <w:p w:rsidR="00821758" w:rsidRDefault="00A83EAC" w:rsidP="00266761">
      <w:pPr>
        <w:spacing w:after="32" w:line="259" w:lineRule="auto"/>
        <w:ind w:left="0" w:right="0" w:firstLine="0"/>
      </w:pPr>
      <w:r>
        <w:t xml:space="preserve"> </w:t>
      </w:r>
    </w:p>
    <w:p w:rsidR="00821758" w:rsidRDefault="00A83EAC" w:rsidP="00266761">
      <w:pPr>
        <w:spacing w:after="54" w:line="264" w:lineRule="auto"/>
        <w:ind w:left="-15" w:right="0" w:firstLine="0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zamówienia </w:t>
      </w:r>
    </w:p>
    <w:p w:rsidR="00821758" w:rsidRDefault="00A83EAC" w:rsidP="00447696">
      <w:pPr>
        <w:spacing w:line="240" w:lineRule="auto"/>
        <w:ind w:left="0" w:right="0" w:firstLine="427"/>
      </w:pPr>
      <w:r>
        <w:t xml:space="preserve">Przedmiotem zamówienia jest udzielenie zamówienia publicznego dotyczącego powszechnych usług pocztowych w obrocie krajowym i zagranicznym w zakresie przyjmowania, przemieszczania, doręczania przesyłek i paczek pocztowych oraz zwrotu przesyłek rejestrowanych i nierejestrowanych do nadawcy po wyczerpaniu możliwości ich doręczenia lub wydania odbiorcy z podziałem na przesyłki pocztowe, które należy rozumieć jako przesyłki: </w:t>
      </w:r>
    </w:p>
    <w:p w:rsidR="00266761" w:rsidRDefault="00A83EAC" w:rsidP="00447696">
      <w:pPr>
        <w:numPr>
          <w:ilvl w:val="0"/>
          <w:numId w:val="1"/>
        </w:numPr>
        <w:spacing w:after="53" w:line="240" w:lineRule="auto"/>
        <w:ind w:right="-4" w:hanging="569"/>
      </w:pPr>
      <w:r>
        <w:t xml:space="preserve">przesyłki listowe: </w:t>
      </w:r>
    </w:p>
    <w:p w:rsidR="00266761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</w:pPr>
      <w:r>
        <w:t xml:space="preserve">zwykłe ekonomiczne – przesyłka nierejestrowana nie będąca przesyłką </w:t>
      </w:r>
      <w:r w:rsidR="00266761">
        <w:t xml:space="preserve"> </w:t>
      </w:r>
      <w:r>
        <w:t xml:space="preserve">najszybszej kategorii; </w:t>
      </w:r>
    </w:p>
    <w:p w:rsidR="00266761" w:rsidRPr="00266761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  <w:rPr>
          <w:spacing w:val="-12"/>
        </w:rPr>
      </w:pPr>
      <w:r w:rsidRPr="00266761">
        <w:rPr>
          <w:spacing w:val="-12"/>
        </w:rPr>
        <w:t xml:space="preserve">zwykłe priorytetowe – przesyłka nierejestrowana będąca przesyłką najszybszej kategorii; </w:t>
      </w:r>
    </w:p>
    <w:p w:rsidR="00266761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</w:pPr>
      <w:r>
        <w:t xml:space="preserve">polecone ekonomiczne – przesyłka rejestrowana będąca przesyłką listową, przemieszczaną i doręczaną w sposób zabezpieczający ja przed utratą, ubytkiem zawartości lub uszkodzeniem; </w:t>
      </w:r>
    </w:p>
    <w:p w:rsidR="00266761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</w:pPr>
      <w:r>
        <w:t xml:space="preserve">polecone priorytetowe – przesyłka rejestrowana najszybszej kategorii będąca przesyłka listową, przemieszczaną i doręczaną w sposób zabezpieczający ja przed utratą, ubytkiem zawartości lub uszkodzeniem; </w:t>
      </w:r>
    </w:p>
    <w:p w:rsidR="00266761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</w:pPr>
      <w:r>
        <w:t xml:space="preserve">polecone ekonomiczna za zwrotnym poświadczeniem odbioru (ZPO) – przesyłka listowa przyjęta za potwierdzeniem nadania i doręczona za pokwitowaniem odbioru; </w:t>
      </w:r>
    </w:p>
    <w:p w:rsidR="00266761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</w:pPr>
      <w:r>
        <w:t xml:space="preserve">polecone priorytetowe za zwrotnym poświadczeniem odbioru (ZPO) – przesyłka najszybszej kategorii przyjęta za potwierdzeniem nadania  i doręczona za pokwitowaniem odbioru; </w:t>
      </w:r>
    </w:p>
    <w:p w:rsidR="00266761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</w:pPr>
      <w:r>
        <w:t xml:space="preserve">kartki pocztowe, druki; </w:t>
      </w:r>
    </w:p>
    <w:p w:rsidR="00821758" w:rsidRDefault="00A83EAC" w:rsidP="00447696">
      <w:pPr>
        <w:pStyle w:val="Akapitzlist"/>
        <w:numPr>
          <w:ilvl w:val="0"/>
          <w:numId w:val="4"/>
        </w:numPr>
        <w:spacing w:after="53" w:line="240" w:lineRule="auto"/>
        <w:ind w:left="1418" w:right="-4" w:hanging="425"/>
      </w:pPr>
      <w:r>
        <w:t xml:space="preserve">listy wartościowe; </w:t>
      </w:r>
    </w:p>
    <w:p w:rsidR="00821758" w:rsidRDefault="00A83EAC" w:rsidP="00447696">
      <w:pPr>
        <w:numPr>
          <w:ilvl w:val="0"/>
          <w:numId w:val="1"/>
        </w:numPr>
        <w:spacing w:line="240" w:lineRule="auto"/>
        <w:ind w:right="-4" w:hanging="569"/>
      </w:pPr>
      <w:r>
        <w:t xml:space="preserve">paczki pocztowe: </w:t>
      </w:r>
    </w:p>
    <w:p w:rsidR="00821758" w:rsidRDefault="00A83EAC" w:rsidP="00266761">
      <w:pPr>
        <w:numPr>
          <w:ilvl w:val="1"/>
          <w:numId w:val="1"/>
        </w:numPr>
        <w:spacing w:after="0"/>
        <w:ind w:right="0" w:hanging="427"/>
      </w:pPr>
      <w:r>
        <w:t xml:space="preserve">ekonomiczne – przesyłka rejestrowana niebędąca przesyłką listową; </w:t>
      </w:r>
    </w:p>
    <w:p w:rsidR="00821758" w:rsidRDefault="00A83EAC" w:rsidP="00266761">
      <w:pPr>
        <w:numPr>
          <w:ilvl w:val="1"/>
          <w:numId w:val="1"/>
        </w:numPr>
        <w:spacing w:after="0"/>
        <w:ind w:right="0" w:hanging="427"/>
      </w:pPr>
      <w:r>
        <w:t xml:space="preserve">priorytetowe – przesyłka rejestrowana niebędąca przesyłką listową, najszybszej kategorii; </w:t>
      </w:r>
    </w:p>
    <w:p w:rsidR="00821758" w:rsidRDefault="00A83EAC" w:rsidP="00266761">
      <w:pPr>
        <w:numPr>
          <w:ilvl w:val="1"/>
          <w:numId w:val="1"/>
        </w:numPr>
        <w:spacing w:after="0"/>
        <w:ind w:right="0" w:hanging="427"/>
      </w:pPr>
      <w:r>
        <w:t xml:space="preserve">ze zwrotnym potwierdzeniem odbioru (ZPO) – przesyłka rejestrowana niebędąca przesyłką listową, przyjęta za potwierdzeniem nadania  i doręczona za pokwitowaniem odbioru; </w:t>
      </w:r>
    </w:p>
    <w:p w:rsidR="00821758" w:rsidRDefault="00A83EAC" w:rsidP="00266761">
      <w:pPr>
        <w:numPr>
          <w:ilvl w:val="1"/>
          <w:numId w:val="1"/>
        </w:numPr>
        <w:spacing w:after="121"/>
        <w:ind w:right="0" w:hanging="427"/>
      </w:pPr>
      <w:r>
        <w:t xml:space="preserve">priorytetowa ze zwrotnym potwierdzeniem odbioru (ZPO) – przesyłka rejestrowana niebędąca przesyłką listową, najszybszej kategorii, przyjęta za potwierdzeniem nadania i doręczona za pokwitowaniem odbioru; </w:t>
      </w:r>
    </w:p>
    <w:p w:rsidR="00821758" w:rsidRDefault="00A83EAC" w:rsidP="00266761">
      <w:pPr>
        <w:ind w:left="0" w:right="0" w:firstLine="0"/>
      </w:pPr>
      <w:r>
        <w:t xml:space="preserve">w tym z zadekretowaną wartością. </w:t>
      </w:r>
    </w:p>
    <w:p w:rsidR="00266761" w:rsidRPr="00266761" w:rsidRDefault="00A83EAC" w:rsidP="00266761">
      <w:pPr>
        <w:numPr>
          <w:ilvl w:val="0"/>
          <w:numId w:val="2"/>
        </w:numPr>
        <w:spacing w:after="53" w:line="253" w:lineRule="auto"/>
        <w:ind w:right="4386" w:hanging="206"/>
      </w:pPr>
      <w:r>
        <w:rPr>
          <w:b/>
        </w:rPr>
        <w:t>Rodzaj zamówienia</w:t>
      </w:r>
    </w:p>
    <w:p w:rsidR="00266761" w:rsidRDefault="00A83EAC" w:rsidP="00266761">
      <w:pPr>
        <w:spacing w:after="53" w:line="253" w:lineRule="auto"/>
        <w:ind w:left="206" w:right="4386" w:firstLine="0"/>
      </w:pPr>
      <w:r>
        <w:t xml:space="preserve"> 1)</w:t>
      </w:r>
      <w:r>
        <w:rPr>
          <w:rFonts w:ascii="Arial" w:eastAsia="Arial" w:hAnsi="Arial" w:cs="Arial"/>
        </w:rPr>
        <w:t xml:space="preserve"> </w:t>
      </w:r>
      <w:r>
        <w:t>Kategoria zamówienia: usługi</w:t>
      </w:r>
    </w:p>
    <w:p w:rsidR="00821758" w:rsidRDefault="00A83EAC" w:rsidP="00266761">
      <w:pPr>
        <w:spacing w:after="53" w:line="253" w:lineRule="auto"/>
        <w:ind w:left="206" w:right="4386" w:firstLine="0"/>
      </w:pPr>
      <w:r>
        <w:t xml:space="preserve"> 2)</w:t>
      </w:r>
      <w:r>
        <w:rPr>
          <w:rFonts w:ascii="Arial" w:eastAsia="Arial" w:hAnsi="Arial" w:cs="Arial"/>
        </w:rPr>
        <w:t xml:space="preserve"> </w:t>
      </w:r>
      <w:r>
        <w:t xml:space="preserve">Kody CPV:  </w:t>
      </w:r>
    </w:p>
    <w:p w:rsidR="00821758" w:rsidRDefault="00A83EAC" w:rsidP="00266761">
      <w:pPr>
        <w:tabs>
          <w:tab w:val="center" w:pos="1342"/>
          <w:tab w:val="center" w:pos="2833"/>
          <w:tab w:val="center" w:pos="5596"/>
        </w:tabs>
        <w:spacing w:after="0"/>
        <w:ind w:left="0" w:right="0" w:firstLine="0"/>
      </w:pPr>
      <w:r>
        <w:t xml:space="preserve"> </w:t>
      </w:r>
      <w:r>
        <w:tab/>
        <w:t xml:space="preserve">Przedmiot główny: </w:t>
      </w:r>
      <w:r>
        <w:tab/>
        <w:t xml:space="preserve">  </w:t>
      </w:r>
      <w:r>
        <w:tab/>
        <w:t xml:space="preserve">64.10.00.00-7 usługi pocztowe i kurierskie  </w:t>
      </w:r>
    </w:p>
    <w:p w:rsidR="00821758" w:rsidRDefault="00A83EAC" w:rsidP="00266761">
      <w:pPr>
        <w:spacing w:after="62" w:line="259" w:lineRule="auto"/>
        <w:ind w:left="0" w:right="0" w:firstLine="0"/>
      </w:pPr>
      <w:r>
        <w:t xml:space="preserve"> </w:t>
      </w:r>
    </w:p>
    <w:p w:rsidR="00821758" w:rsidRDefault="00A83EAC" w:rsidP="00266761">
      <w:pPr>
        <w:numPr>
          <w:ilvl w:val="0"/>
          <w:numId w:val="2"/>
        </w:numPr>
        <w:spacing w:after="54" w:line="264" w:lineRule="auto"/>
        <w:ind w:right="4386" w:hanging="206"/>
      </w:pPr>
      <w:r>
        <w:rPr>
          <w:b/>
        </w:rPr>
        <w:lastRenderedPageBreak/>
        <w:t>Opis przedmiotu zamówienia i obowiązki Wykonawcy:</w:t>
      </w:r>
      <w:r>
        <w:t xml:space="preserve"> 1)</w:t>
      </w:r>
      <w:r>
        <w:rPr>
          <w:rFonts w:ascii="Arial" w:eastAsia="Arial" w:hAnsi="Arial" w:cs="Arial"/>
        </w:rPr>
        <w:t xml:space="preserve"> </w:t>
      </w:r>
      <w:r>
        <w:t xml:space="preserve">W zakres przedmiotu zamówienia wchodzą: </w:t>
      </w:r>
    </w:p>
    <w:p w:rsidR="00821758" w:rsidRDefault="00A83EAC" w:rsidP="00266761">
      <w:pPr>
        <w:numPr>
          <w:ilvl w:val="1"/>
          <w:numId w:val="2"/>
        </w:numPr>
        <w:ind w:right="0" w:hanging="360"/>
      </w:pPr>
      <w:r>
        <w:t xml:space="preserve">usługi pocztowe w obrocie krajowym i zagranicznym dla przesyłek listowych  o wadze do 2000 gramów w zakresie ich przyjmowania, przemieszczania  i doręczania,  </w:t>
      </w:r>
    </w:p>
    <w:p w:rsidR="00821758" w:rsidRDefault="00A83EAC" w:rsidP="00266761">
      <w:pPr>
        <w:numPr>
          <w:ilvl w:val="1"/>
          <w:numId w:val="2"/>
        </w:numPr>
        <w:ind w:right="0" w:hanging="360"/>
      </w:pPr>
      <w:r>
        <w:t xml:space="preserve">doręczania zwrotów przesyłek listowych nie doręczonych, po wyczerpaniu wszystkich możliwości ich doręczenia lub wydania odbiorcy,  </w:t>
      </w:r>
    </w:p>
    <w:p w:rsidR="00821758" w:rsidRDefault="00A83EAC" w:rsidP="00266761">
      <w:pPr>
        <w:numPr>
          <w:ilvl w:val="1"/>
          <w:numId w:val="2"/>
        </w:numPr>
        <w:ind w:right="0" w:hanging="360"/>
      </w:pPr>
      <w:r>
        <w:t xml:space="preserve">usługi pocztowe dotyczące paczek pocztowych w obrocie krajowym  i zagranicznym dotyczące paczek pocztowych w zakresie ich przyjmowania, przemieszczania i doręczania,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>Przedmiot zamówienia winien być realizowany na zasadach określonych  w powszechnie obowiązujących przepisach prawa, w szczególności na ustawie z dnia 23 listopada 2012 r. Prawo pocztowe (Dz. U. z 20</w:t>
      </w:r>
      <w:r w:rsidR="00832DD4">
        <w:t>23</w:t>
      </w:r>
      <w:r>
        <w:t xml:space="preserve"> poz. </w:t>
      </w:r>
      <w:r w:rsidR="00832DD4">
        <w:t>1640</w:t>
      </w:r>
      <w:r>
        <w:t xml:space="preserve">), zwanym dalej </w:t>
      </w:r>
    </w:p>
    <w:p w:rsidR="00821758" w:rsidRDefault="00A83EAC" w:rsidP="00266761">
      <w:pPr>
        <w:spacing w:after="65" w:line="259" w:lineRule="auto"/>
        <w:ind w:left="708" w:right="0" w:firstLine="0"/>
      </w:pPr>
      <w:r>
        <w:rPr>
          <w:i/>
        </w:rPr>
        <w:t>„Prawo pocztowe”</w:t>
      </w:r>
      <w:r>
        <w:t xml:space="preserve">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Przez Wykonawcę rozumie się operatora pocztowego - przedsiębiorcę uprawnionego do wykonywania działalności pocztowej, na podstawie </w:t>
      </w:r>
      <w:r>
        <w:rPr>
          <w:u w:val="single" w:color="000000"/>
        </w:rPr>
        <w:t>wpisu</w:t>
      </w:r>
      <w:r>
        <w:t xml:space="preserve"> do rejestru operatorów pocztowych.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Przesyłki nadawane przez Zamawiającego, dostarczane będą przez Wykonawcę do każdego miejsca w kraju i za granicą, na podany adres, bądź wskazany adres skrytki pocztowej, zgodnie z wiążącymi Rzeczpospolitą Polską umowami międzynarodowymi dotyczącymi świadczenia usług pocztowych oraz wiążących regulaminów Światowego Związku Pocztowego.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Wykonawca zobowiązany jest do posiadania placówki nadawczej w odległości nie przekraczającej 2 km od siedziby Zamawiającego.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Zamawiający zobowiązuje się do podania na przesyłce pocztowej nazwy  i adresu adresata (w przypadku przesyłek rejestrowanych podany jednocześnie  w pocztowej książce nadawczej), określając również rodzaj przesyłki (zwykły, polecony, priorytet czy zwrotne poświadczenie odbioru – ZPO) oraz pełną nazwę  i adres zwrotny Zamawiającego (nadawcy).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Zamawiający zobowiązuje się do prowadzenia w dwóch egzemplarzach pocztowej książki nadawczej (oryginał dla Wykonawcy, kopia dla Zamawiającego) dla przesyłek rejestrowanych oraz zestawienia ilościowo-wartościowego dla wszystkich nadawanych przesyłek. Zestawienie prowadzone będzie z uwzględnieniem podziału na przesyłki zwykłe i najszybszej kategorii, rejestrowane i nierejestrowane, za potwierdzeniem odbioru i bez potwierdzenia odbioru, gabaryt A i B, poszczególne kategorie wagowe oraz podziału na przesyłki krajowe i zagraniczne. Wzór pocztowej książki nadawczej i zestawienia ilościowo-wartościowego zostanie ustalony  z Wykonawcą przed zawarciem umowy. Oryginał pocztowej książki nadawczej oraz zestawienie ilościowo-wartościowe dla Wykonawcy stanowić będzie podstawę dla celów rozliczeniowych, a dla Zamawiającego potwierdzenie wykonania usług pocztowych. </w:t>
      </w:r>
    </w:p>
    <w:p w:rsidR="00821758" w:rsidRDefault="00A83EAC" w:rsidP="00266761">
      <w:pPr>
        <w:numPr>
          <w:ilvl w:val="0"/>
          <w:numId w:val="3"/>
        </w:numPr>
        <w:spacing w:after="3"/>
        <w:ind w:right="0" w:hanging="502"/>
      </w:pPr>
      <w:r>
        <w:t xml:space="preserve">Opakowanie przesyłek pocztowych będzie stanowiła koperta Zamawiającego odpowiednio zabezpieczona. Opakowanie paczki pocztowej będzie stanowiło zabezpieczenie przed zniszczeniem i utratą zawartości w czasie przemieszczania. </w:t>
      </w:r>
    </w:p>
    <w:p w:rsidR="00821758" w:rsidRDefault="00A83EAC" w:rsidP="00266761">
      <w:pPr>
        <w:ind w:left="708" w:right="0" w:firstLine="0"/>
      </w:pPr>
      <w:r>
        <w:lastRenderedPageBreak/>
        <w:t xml:space="preserve">Odpowiedzialność za przesyłki i paczki pocztowe po ich przekazaniu przez Zamawiającego spoczywa na Wykonawcy. Zamawiający będzie korzystał wyłączenie ze swojego opakowania przesyłek, nie dopuszczą się stosowania opakowań Wykonawcy.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Nadanie przesyłek objętych przedmiotem zamówienia będzie następować  w dniu ich odbioru.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Zamawiający dopuszcza możliwość przesunięcia nadania przesyłki na dzień następny w przypadku uzasadnionych zastrzeżeń Wykonawcy do odebranych przesyłek (nieprawidłowe opakowanie, brak pełnego adresu, niezgodność wpisów do dokumentów nadawczych z wpisami na przesyłkach, brak znaków opłaty) i braku możliwości ich wyjaśnienia lub usunięcia w dniu ich odbioru.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W przypadku, gdy u Zamawiającego będzie wyznaczony jako dzień pracujący sobota, lub jako dzień wolny dzień powszedni, Zamawiający poinformuje o tym fakcie Wykonawcę z co najmniej trzydniowym wyprzedzeniem, a Wykonawca jest zobowiązany w takim dniu do doręczenia ,zwrotu oraz nadania przesyłek jeżeli Wykonawca w tym dniu będzie świadczył usługi i nie będzie to dzień wolny od pracy u Wykonawcy.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Wykonawca zobowiązany będzie doręczać wszystkie przychodzące za jego pośrednictwem przesyłki pocztowe i zwracać niedoręczone przesyłki pocztowe  (z podaniem przyczyny niedoręczenia w przypadku przesyłek poleconych) oraz potwierdzenia odbioru pokwitowane przez adresata do siedziby Zamawiającego.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Wykonawca zobowiązany jest do honorowania i obsługiwania „zwrotnego potwierdzenia odbioru (ZPO)” stanowiącego potwierdzenie doręczenia  i odbioru przesyłki na zasadach określonych w </w:t>
      </w:r>
      <w:r>
        <w:rPr>
          <w:i/>
        </w:rPr>
        <w:t>ustawie z dn.14 czerwca 1960 r. - Kodeks postępowania administracyjnego</w:t>
      </w:r>
      <w:r>
        <w:t xml:space="preserve"> (Dz.U. z 20</w:t>
      </w:r>
      <w:r w:rsidR="007C7B0B">
        <w:t>23</w:t>
      </w:r>
      <w:r>
        <w:t xml:space="preserve"> poz. </w:t>
      </w:r>
      <w:r w:rsidR="007C7B0B">
        <w:t>775</w:t>
      </w:r>
      <w:r>
        <w:t xml:space="preserve"> z </w:t>
      </w:r>
      <w:proofErr w:type="spellStart"/>
      <w:r>
        <w:t>późn</w:t>
      </w:r>
      <w:proofErr w:type="spellEnd"/>
      <w:r>
        <w:t xml:space="preserve">. zm.) oraz zgodnych z przepisami </w:t>
      </w:r>
      <w:r>
        <w:rPr>
          <w:i/>
        </w:rPr>
        <w:t>ustawy Ordynacja Podatkowa</w:t>
      </w:r>
      <w:r>
        <w:t xml:space="preserve"> (Dz. U. z 20</w:t>
      </w:r>
      <w:r w:rsidR="000E692C">
        <w:t>22</w:t>
      </w:r>
      <w:r>
        <w:t xml:space="preserve"> r., poz. </w:t>
      </w:r>
      <w:r w:rsidR="000E692C">
        <w:t>2651</w:t>
      </w:r>
      <w:r>
        <w:t xml:space="preserve">  z </w:t>
      </w:r>
      <w:proofErr w:type="spellStart"/>
      <w:r>
        <w:t>późn</w:t>
      </w:r>
      <w:proofErr w:type="spellEnd"/>
      <w:r>
        <w:t xml:space="preserve">. zm.) stosowanych przez Zamawiającego w razie potrzeby. Zamawiający będzie korzystał z własnych wzorów druków potwierdzenia odbioru, lub z druków stosowanych przez Wykonawcę, o ile są zgodne z ww. przepisami. 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W przypadku nieobecności adresata i braku możliwości doręczenia przesyłki pocztowej innej dorosłej, uprawnionej osobie w obrocie krajowym, przedstawiciel Wykonawcy pozostawia w skrzynce oddawczej adresata zawiadomienie (pierwsze awizo, a po upływie 7 dni kolejne awizo) o próbie dostarczenia przesyłki ze wskazaniem gdzie i w jakim terminie adresat może odebrać list lub przesyłkę,  z uwzględnieniem warunków i terminów do odbioru przesyłki określonych  w powszechnie obowiązujących przepisach prawa w tym zakresie. Po upływie terminu odbioru lub wyczerpaniu możliwości doręczenia przesyłki, przesyłka zwracana jest Zamawiającemu wraz z podaniem przyczyny nieodebrania przez adresata.  W przypadku przesyłek w obrocie zagranicznym obowiązują zasady określone  w przepisach międzynarodowych. </w:t>
      </w:r>
    </w:p>
    <w:p w:rsidR="00266761" w:rsidRDefault="00266761" w:rsidP="00266761">
      <w:pPr>
        <w:numPr>
          <w:ilvl w:val="0"/>
          <w:numId w:val="3"/>
        </w:numPr>
        <w:ind w:right="0" w:hanging="502"/>
      </w:pPr>
      <w:r w:rsidRPr="00266761">
        <w:t xml:space="preserve">Odbierający przesyłkę poleconą potwierdza doręczenie mu przesyłki podpisem ze wskazaniem daty doręczenia. Jeżeli adresat odmawia przyjęcia przesyłki przesłanej mu przez operatora pocztowego, przesyłkę zwraca się nadawcy z adnotacją o odmowie jej przyjęcia i datą odmowy. W stanach nadzwyczajnych lub w przypadku wystąpienia </w:t>
      </w:r>
      <w:r w:rsidRPr="00266761">
        <w:lastRenderedPageBreak/>
        <w:t>stanu epidemii lub stanu zagrożenia epidemicznego, przesyłka listowa będąca przesyłką rejestrowaną może być doręczona adresatowi do jego oddawczej skrzynki pocztowej.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>Reklamacje z tytułu niewykonania usługi Zamawiający może zgłosić  do Wykonawcy zgodnie z postanowieniami Rozporządzenie Ministra Administracji  i Cyfryzacji z dnia 26 listopada 2013 r. w sprawie reklamacji usługi pocztowej (Dz. U. z 201</w:t>
      </w:r>
      <w:r w:rsidR="005171C6">
        <w:t>9</w:t>
      </w:r>
      <w:r>
        <w:t xml:space="preserve"> r., poz. 4</w:t>
      </w:r>
      <w:r w:rsidR="005171C6">
        <w:t>74</w:t>
      </w:r>
      <w:r>
        <w:t xml:space="preserve">).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>W przypadku utraty, uszkodzenia, ubytku bądź niewykonania  lub nienależytego wykonania przedmiotu zamówienia Wykonawca zapłaci Zamawiającemu należne odszkodowanie i inne roszczenia zgodnie z przepisami z dnia 23 listopada 2012 roku ustawy Prawo pocztowe (</w:t>
      </w:r>
      <w:r w:rsidR="00034A62">
        <w:t>Dz. U. z 2023 poz. 1640</w:t>
      </w:r>
      <w:r>
        <w:t xml:space="preserve">).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Zawarte w Formularzu cenowym zestawienie liczby przesyłek, które będą nadane przez Zamawiającego w czasie trwania umowy ma charakter szacunkowy i zostało obliczone na podstawie </w:t>
      </w:r>
      <w:r w:rsidR="00502D6F">
        <w:t>ilości przesyłek wychodzących w roku 2022</w:t>
      </w:r>
      <w:r>
        <w:t xml:space="preserve">. 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Zamawiający wymaga, aby Wykonawca posiadał nieodpłatną opcję monitorowania przesyłek (MP), tj. aby umożliwił Zamawiającemu śledzenie przez Internet rejestrowanych przesyłek listowych i paczek. 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>Z uwagi na możliwy wzrost ilości nadawanych przesyłek Zamawiający zastrzega możliwość skrócenia terminu ważności umowy w przypadku wyczerpania kwoty określonej w umowie prze</w:t>
      </w:r>
      <w:r w:rsidR="00E65CF3">
        <w:t>d</w:t>
      </w:r>
      <w:r>
        <w:t xml:space="preserve"> 31 </w:t>
      </w:r>
      <w:r w:rsidR="00E65CF3">
        <w:t>grudnia 202</w:t>
      </w:r>
      <w:r w:rsidR="002011A7">
        <w:t>5</w:t>
      </w:r>
      <w:bookmarkStart w:id="0" w:name="_GoBack"/>
      <w:bookmarkEnd w:id="0"/>
      <w:r>
        <w:t xml:space="preserve"> r.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Rozliczenia finansowe, wykonanych usług pocztowych, będą dokonywane  w okresach miesięcznych „z dołu”, z uwzględnieniem faktycznie nadanych  i zwróconych przesyłek oraz cen jednostkowych zaproponowanych przez Wykonawcę w dołączonym do oferty Formularzu ofertowym. Wykonawca zobowiązany jest do wystawiania faktury zbiorczej za wykonane usługi na rzecz Zamawiającego za każdy miesiąc.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Zamawiający  będzie stosował uzgodnione z Wykonawcą znaki służące do potwierdzenia opłat dotyczących usługi pocztowej i oznaczenia umożliwiające identyfikację umowy, na podstawie której świadczone są usługi pocztowe.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Zamawiający wymaga, aby punkty odbioru niedoręczonych pod adres przesyłek (awizowanych) znajdowały się terenie gminy Białe Błota w sołectwach Białe Błota  i Łochowo. </w:t>
      </w:r>
    </w:p>
    <w:p w:rsidR="00821758" w:rsidRDefault="00A83EAC" w:rsidP="00266761">
      <w:pPr>
        <w:numPr>
          <w:ilvl w:val="0"/>
          <w:numId w:val="3"/>
        </w:numPr>
        <w:ind w:right="0" w:hanging="502"/>
      </w:pPr>
      <w:r>
        <w:t xml:space="preserve">Z tytułu niewykonania lub nienależytego wykonania usługi stanowiącej przedmiot zamówienia Zamawiającemu przysługuje odszkodowanie zgodnie z zasadami ustawy Prawo pocztowe oraz regulaminami poszczególnych usług Wykonawcy. </w:t>
      </w:r>
    </w:p>
    <w:p w:rsidR="00821758" w:rsidRDefault="00A83EAC" w:rsidP="00266761">
      <w:pPr>
        <w:numPr>
          <w:ilvl w:val="0"/>
          <w:numId w:val="3"/>
        </w:numPr>
        <w:spacing w:after="0"/>
        <w:ind w:right="0" w:hanging="502"/>
      </w:pPr>
      <w:r>
        <w:t xml:space="preserve">Zamawiający jest odpowiedzialny za nadawanie przesyłek listowych i paczek w stanie umożliwiającym Wykonawcy doręczanie bez ubytku i uszkodzenia do miejsca zgodnie z adresem przeznaczenia. </w:t>
      </w:r>
    </w:p>
    <w:p w:rsidR="00821758" w:rsidRPr="00447696" w:rsidRDefault="00A83EAC" w:rsidP="00266761">
      <w:pPr>
        <w:spacing w:after="69" w:line="259" w:lineRule="auto"/>
        <w:ind w:left="492" w:right="0" w:firstLine="0"/>
      </w:pPr>
      <w:r>
        <w:rPr>
          <w:b/>
        </w:rPr>
        <w:t xml:space="preserve"> </w:t>
      </w:r>
    </w:p>
    <w:p w:rsidR="00447696" w:rsidRDefault="00A83EAC" w:rsidP="00447696">
      <w:pPr>
        <w:pStyle w:val="Subhead2"/>
        <w:numPr>
          <w:ilvl w:val="0"/>
          <w:numId w:val="2"/>
        </w:numPr>
        <w:tabs>
          <w:tab w:val="left" w:pos="0"/>
        </w:tabs>
        <w:spacing w:line="360" w:lineRule="auto"/>
        <w:ind w:hanging="284"/>
        <w:jc w:val="both"/>
      </w:pPr>
      <w:r w:rsidRPr="00447696">
        <w:t>Wymagany przez Zamawiającego termin realizacji przedmiotu zamówienia:</w:t>
      </w:r>
      <w:r w:rsidR="00447696" w:rsidRPr="00447696">
        <w:t xml:space="preserve"> </w:t>
      </w:r>
    </w:p>
    <w:p w:rsidR="00447696" w:rsidRPr="00447696" w:rsidRDefault="00447696" w:rsidP="00447696">
      <w:pPr>
        <w:pStyle w:val="Subhead2"/>
        <w:tabs>
          <w:tab w:val="left" w:pos="0"/>
        </w:tabs>
        <w:spacing w:line="360" w:lineRule="auto"/>
        <w:ind w:left="206"/>
        <w:jc w:val="both"/>
        <w:rPr>
          <w:rFonts w:eastAsia="Verdana"/>
          <w:b w:val="0"/>
          <w:color w:val="000000"/>
          <w:spacing w:val="-14"/>
          <w:szCs w:val="24"/>
          <w:lang w:bidi="pl-PL"/>
        </w:rPr>
      </w:pPr>
      <w:r w:rsidRPr="00447696">
        <w:rPr>
          <w:rFonts w:eastAsia="Verdana"/>
          <w:b w:val="0"/>
          <w:spacing w:val="-14"/>
          <w:szCs w:val="24"/>
          <w:lang w:bidi="pl-PL"/>
        </w:rPr>
        <w:t>od</w:t>
      </w:r>
      <w:r w:rsidRPr="00447696">
        <w:rPr>
          <w:b w:val="0"/>
          <w:bCs/>
        </w:rPr>
        <w:t xml:space="preserve"> dnia podpisania umowy, z zastrzeżeniem, iż  nie wcześniej niż po wyczerpaniu środków z umowy nr RZP.272.22.2021.ZP1 z dnia 14.05.2021 r.</w:t>
      </w:r>
      <w:r w:rsidRPr="00447696">
        <w:rPr>
          <w:rFonts w:eastAsia="Verdana"/>
          <w:b w:val="0"/>
          <w:spacing w:val="-14"/>
          <w:szCs w:val="24"/>
          <w:lang w:bidi="pl-PL"/>
        </w:rPr>
        <w:t xml:space="preserve"> do 31.12.202</w:t>
      </w:r>
      <w:r w:rsidR="00EA493D">
        <w:rPr>
          <w:rFonts w:eastAsia="Verdana"/>
          <w:b w:val="0"/>
          <w:spacing w:val="-14"/>
          <w:szCs w:val="24"/>
          <w:lang w:bidi="pl-PL"/>
        </w:rPr>
        <w:t>5</w:t>
      </w:r>
      <w:r w:rsidRPr="00447696">
        <w:rPr>
          <w:rFonts w:eastAsia="Verdana"/>
          <w:b w:val="0"/>
          <w:spacing w:val="-14"/>
          <w:szCs w:val="24"/>
          <w:lang w:bidi="pl-PL"/>
        </w:rPr>
        <w:t xml:space="preserve"> r.</w:t>
      </w:r>
    </w:p>
    <w:p w:rsidR="00821758" w:rsidRDefault="00821758" w:rsidP="00266761">
      <w:pPr>
        <w:spacing w:after="7" w:line="264" w:lineRule="auto"/>
        <w:ind w:left="422" w:right="481" w:hanging="437"/>
      </w:pPr>
    </w:p>
    <w:p w:rsidR="00821758" w:rsidRDefault="00A83EAC" w:rsidP="00266761">
      <w:pPr>
        <w:spacing w:after="0" w:line="259" w:lineRule="auto"/>
        <w:ind w:left="0" w:right="0" w:firstLine="0"/>
      </w:pPr>
      <w:r>
        <w:t xml:space="preserve"> </w:t>
      </w:r>
    </w:p>
    <w:sectPr w:rsidR="00821758">
      <w:headerReference w:type="even" r:id="rId7"/>
      <w:headerReference w:type="default" r:id="rId8"/>
      <w:headerReference w:type="first" r:id="rId9"/>
      <w:pgSz w:w="11906" w:h="16838"/>
      <w:pgMar w:top="1137" w:right="1413" w:bottom="1151" w:left="1419" w:header="69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EFA" w:rsidRDefault="00A83EAC">
      <w:pPr>
        <w:spacing w:after="0" w:line="240" w:lineRule="auto"/>
      </w:pPr>
      <w:r>
        <w:separator/>
      </w:r>
    </w:p>
  </w:endnote>
  <w:endnote w:type="continuationSeparator" w:id="0">
    <w:p w:rsidR="00EB6EFA" w:rsidRDefault="00A8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EFA" w:rsidRDefault="00A83EAC">
      <w:pPr>
        <w:spacing w:after="0" w:line="240" w:lineRule="auto"/>
      </w:pPr>
      <w:r>
        <w:separator/>
      </w:r>
    </w:p>
  </w:footnote>
  <w:footnote w:type="continuationSeparator" w:id="0">
    <w:p w:rsidR="00EB6EFA" w:rsidRDefault="00A83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758" w:rsidRDefault="00A83EAC">
    <w:pPr>
      <w:spacing w:after="0" w:line="259" w:lineRule="auto"/>
      <w:ind w:left="0" w:right="0" w:firstLine="0"/>
      <w:jc w:val="left"/>
    </w:pPr>
    <w:r>
      <w:rPr>
        <w:i/>
        <w:color w:val="0070C0"/>
        <w:sz w:val="22"/>
      </w:rPr>
      <w:t xml:space="preserve">Opis przedmiotu zamówienia,                                          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758" w:rsidRDefault="00A83EAC">
    <w:pPr>
      <w:spacing w:after="0" w:line="259" w:lineRule="auto"/>
      <w:ind w:left="0" w:right="0" w:firstLine="0"/>
      <w:jc w:val="left"/>
    </w:pPr>
    <w:r>
      <w:rPr>
        <w:i/>
        <w:color w:val="0070C0"/>
        <w:sz w:val="22"/>
      </w:rPr>
      <w:t xml:space="preserve">Opis przedmiotu zamówienia,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758" w:rsidRDefault="00A83EAC">
    <w:pPr>
      <w:spacing w:after="0" w:line="259" w:lineRule="auto"/>
      <w:ind w:left="0" w:right="0" w:firstLine="0"/>
      <w:jc w:val="left"/>
    </w:pPr>
    <w:r>
      <w:rPr>
        <w:i/>
        <w:color w:val="0070C0"/>
        <w:sz w:val="22"/>
      </w:rPr>
      <w:t xml:space="preserve">Opis przedmiotu zamówienia,                                          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C3059"/>
    <w:multiLevelType w:val="hybridMultilevel"/>
    <w:tmpl w:val="1B2A923C"/>
    <w:lvl w:ilvl="0" w:tplc="8A242AE6">
      <w:start w:val="2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456CC">
      <w:start w:val="1"/>
      <w:numFmt w:val="lowerLetter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84B3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C4E38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7A980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E2BDF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A48B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6AF33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0FCA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AE64EA"/>
    <w:multiLevelType w:val="hybridMultilevel"/>
    <w:tmpl w:val="F5A08DDA"/>
    <w:lvl w:ilvl="0" w:tplc="80104B40">
      <w:start w:val="1"/>
      <w:numFmt w:val="lowerLetter"/>
      <w:lvlText w:val="%1)"/>
      <w:lvlJc w:val="left"/>
      <w:pPr>
        <w:ind w:left="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488774">
      <w:start w:val="1"/>
      <w:numFmt w:val="bullet"/>
      <w:lvlText w:val="-"/>
      <w:lvlJc w:val="left"/>
      <w:pPr>
        <w:ind w:left="1421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B4F16C">
      <w:start w:val="1"/>
      <w:numFmt w:val="bullet"/>
      <w:lvlText w:val="▪"/>
      <w:lvlJc w:val="left"/>
      <w:pPr>
        <w:ind w:left="2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CEA052">
      <w:start w:val="1"/>
      <w:numFmt w:val="bullet"/>
      <w:lvlText w:val="•"/>
      <w:lvlJc w:val="left"/>
      <w:pPr>
        <w:ind w:left="2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2C6EA">
      <w:start w:val="1"/>
      <w:numFmt w:val="bullet"/>
      <w:lvlText w:val="o"/>
      <w:lvlJc w:val="left"/>
      <w:pPr>
        <w:ind w:left="3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68D47A">
      <w:start w:val="1"/>
      <w:numFmt w:val="bullet"/>
      <w:lvlText w:val="▪"/>
      <w:lvlJc w:val="left"/>
      <w:pPr>
        <w:ind w:left="4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49BFE">
      <w:start w:val="1"/>
      <w:numFmt w:val="bullet"/>
      <w:lvlText w:val="•"/>
      <w:lvlJc w:val="left"/>
      <w:pPr>
        <w:ind w:left="4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626F6">
      <w:start w:val="1"/>
      <w:numFmt w:val="bullet"/>
      <w:lvlText w:val="o"/>
      <w:lvlJc w:val="left"/>
      <w:pPr>
        <w:ind w:left="56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66327E">
      <w:start w:val="1"/>
      <w:numFmt w:val="bullet"/>
      <w:lvlText w:val="▪"/>
      <w:lvlJc w:val="left"/>
      <w:pPr>
        <w:ind w:left="63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C071439"/>
    <w:multiLevelType w:val="hybridMultilevel"/>
    <w:tmpl w:val="04AC779E"/>
    <w:lvl w:ilvl="0" w:tplc="4440CD82">
      <w:start w:val="2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0C121E">
      <w:start w:val="1"/>
      <w:numFmt w:val="lowerLetter"/>
      <w:lvlText w:val="%2"/>
      <w:lvlJc w:val="left"/>
      <w:pPr>
        <w:ind w:left="1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460FB6">
      <w:start w:val="1"/>
      <w:numFmt w:val="lowerRoman"/>
      <w:lvlText w:val="%3"/>
      <w:lvlJc w:val="left"/>
      <w:pPr>
        <w:ind w:left="1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C47A86">
      <w:start w:val="1"/>
      <w:numFmt w:val="decimal"/>
      <w:lvlText w:val="%4"/>
      <w:lvlJc w:val="left"/>
      <w:pPr>
        <w:ind w:left="2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EBD04">
      <w:start w:val="1"/>
      <w:numFmt w:val="lowerLetter"/>
      <w:lvlText w:val="%5"/>
      <w:lvlJc w:val="left"/>
      <w:pPr>
        <w:ind w:left="3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4A5A8">
      <w:start w:val="1"/>
      <w:numFmt w:val="lowerRoman"/>
      <w:lvlText w:val="%6"/>
      <w:lvlJc w:val="left"/>
      <w:pPr>
        <w:ind w:left="4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AABE62">
      <w:start w:val="1"/>
      <w:numFmt w:val="decimal"/>
      <w:lvlText w:val="%7"/>
      <w:lvlJc w:val="left"/>
      <w:pPr>
        <w:ind w:left="4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3E0FDA">
      <w:start w:val="1"/>
      <w:numFmt w:val="lowerLetter"/>
      <w:lvlText w:val="%8"/>
      <w:lvlJc w:val="left"/>
      <w:pPr>
        <w:ind w:left="5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E0A88">
      <w:start w:val="1"/>
      <w:numFmt w:val="lowerRoman"/>
      <w:lvlText w:val="%9"/>
      <w:lvlJc w:val="left"/>
      <w:pPr>
        <w:ind w:left="6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BF497F"/>
    <w:multiLevelType w:val="hybridMultilevel"/>
    <w:tmpl w:val="8670E578"/>
    <w:lvl w:ilvl="0" w:tplc="7A488774">
      <w:start w:val="1"/>
      <w:numFmt w:val="bullet"/>
      <w:lvlText w:val="-"/>
      <w:lvlJc w:val="left"/>
      <w:pPr>
        <w:ind w:left="1854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58"/>
    <w:rsid w:val="00034A62"/>
    <w:rsid w:val="000E692C"/>
    <w:rsid w:val="001B483A"/>
    <w:rsid w:val="002011A7"/>
    <w:rsid w:val="00266761"/>
    <w:rsid w:val="003F2771"/>
    <w:rsid w:val="00447696"/>
    <w:rsid w:val="00480B1E"/>
    <w:rsid w:val="00502D6F"/>
    <w:rsid w:val="005171C6"/>
    <w:rsid w:val="007B1A74"/>
    <w:rsid w:val="007C7B0B"/>
    <w:rsid w:val="00821758"/>
    <w:rsid w:val="00832DD4"/>
    <w:rsid w:val="00945F81"/>
    <w:rsid w:val="00A83EAC"/>
    <w:rsid w:val="00BD1B1B"/>
    <w:rsid w:val="00E65CF3"/>
    <w:rsid w:val="00EA493D"/>
    <w:rsid w:val="00EB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676D"/>
  <w15:docId w15:val="{104E25D3-8AC6-429E-A49C-A8A93325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4" w:line="285" w:lineRule="auto"/>
      <w:ind w:left="512" w:right="2" w:hanging="51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67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D6F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Subhead2">
    <w:name w:val="Subhead 2"/>
    <w:basedOn w:val="Normalny"/>
    <w:rsid w:val="00447696"/>
    <w:pPr>
      <w:spacing w:after="0" w:line="240" w:lineRule="auto"/>
      <w:ind w:left="0" w:right="0" w:firstLine="0"/>
      <w:jc w:val="left"/>
    </w:pPr>
    <w:rPr>
      <w:b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1572</Words>
  <Characters>9436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Grygrowicz</dc:creator>
  <cp:keywords/>
  <cp:lastModifiedBy>Katarzyna KM. Mazur-Skoczylas</cp:lastModifiedBy>
  <cp:revision>4</cp:revision>
  <cp:lastPrinted>2023-10-26T07:41:00Z</cp:lastPrinted>
  <dcterms:created xsi:type="dcterms:W3CDTF">2023-11-15T09:30:00Z</dcterms:created>
  <dcterms:modified xsi:type="dcterms:W3CDTF">2023-12-11T10:34:00Z</dcterms:modified>
</cp:coreProperties>
</file>