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5A6E69C5" w:rsidR="008E0765" w:rsidRPr="00FD3655" w:rsidRDefault="004E2D14" w:rsidP="00303427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3073E1" w:rsidRPr="003073E1">
        <w:rPr>
          <w:b w:val="0"/>
          <w:sz w:val="24"/>
          <w:szCs w:val="24"/>
        </w:rPr>
        <w:t>„</w:t>
      </w:r>
      <w:r w:rsidR="00303427" w:rsidRPr="00303427">
        <w:rPr>
          <w:b w:val="0"/>
          <w:sz w:val="24"/>
          <w:szCs w:val="24"/>
        </w:rPr>
        <w:t>Rewitalizacja powojskowych terenów w celu utworzenia Centrum Usług „Mulnik” – etap 1.1a.</w:t>
      </w:r>
      <w:r w:rsidR="003073E1" w:rsidRPr="003073E1">
        <w:rPr>
          <w:b w:val="0"/>
          <w:sz w:val="24"/>
          <w:szCs w:val="24"/>
        </w:rPr>
        <w:t>”</w:t>
      </w:r>
      <w:r w:rsidR="00780ED3">
        <w:rPr>
          <w:b w:val="0"/>
          <w:sz w:val="24"/>
          <w:szCs w:val="24"/>
        </w:rPr>
        <w:t>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26E67EF8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0CF9E5A9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77777777" w:rsidR="00680B04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37F47F3B" w:rsidR="005E03CA" w:rsidRPr="00FD3655" w:rsidRDefault="006A3A7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1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1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77777777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40ADF526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</w:t>
      </w:r>
      <w:r w:rsidR="006A3A72">
        <w:rPr>
          <w:rFonts w:ascii="Times New Roman" w:hAnsi="Times New Roman" w:cs="Times New Roman"/>
          <w:sz w:val="24"/>
          <w:szCs w:val="24"/>
        </w:rPr>
        <w:t>konawcę, dalszego podwykonawcę 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(w formie elektronicznej) do sformułowania takiego </w:t>
      </w:r>
      <w:r w:rsidR="00C27EC5" w:rsidRPr="00FD3655">
        <w:rPr>
          <w:rFonts w:ascii="Times New Roman" w:hAnsi="Times New Roman" w:cs="Times New Roman"/>
          <w:sz w:val="24"/>
          <w:szCs w:val="24"/>
        </w:rPr>
        <w:lastRenderedPageBreak/>
        <w:t>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46CF3E4D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, składanych raportów miesięcznych, </w:t>
      </w:r>
      <w:r w:rsidR="006A3A72">
        <w:rPr>
          <w:rFonts w:ascii="Times New Roman" w:hAnsi="Times New Roman" w:cs="Times New Roman"/>
          <w:sz w:val="24"/>
          <w:szCs w:val="24"/>
        </w:rPr>
        <w:t>przejściowych protokołów odbioru</w:t>
      </w:r>
      <w:r w:rsidRPr="00FD3655">
        <w:rPr>
          <w:rFonts w:ascii="Times New Roman" w:hAnsi="Times New Roman" w:cs="Times New Roman"/>
          <w:sz w:val="24"/>
          <w:szCs w:val="24"/>
        </w:rPr>
        <w:t>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520C9E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>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2C8E3429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A3A72">
        <w:rPr>
          <w:rFonts w:ascii="Times New Roman" w:hAnsi="Times New Roman" w:cs="Times New Roman"/>
          <w:sz w:val="24"/>
          <w:szCs w:val="24"/>
        </w:rPr>
        <w:t>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</w:t>
      </w:r>
      <w:r w:rsidR="006A3A72">
        <w:rPr>
          <w:rFonts w:ascii="Times New Roman" w:hAnsi="Times New Roman" w:cs="Times New Roman"/>
          <w:sz w:val="24"/>
          <w:szCs w:val="24"/>
        </w:rPr>
        <w:t xml:space="preserve">2351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A3A72">
        <w:rPr>
          <w:rFonts w:ascii="Times New Roman" w:hAnsi="Times New Roman" w:cs="Times New Roman"/>
          <w:sz w:val="24"/>
          <w:szCs w:val="24"/>
        </w:rPr>
        <w:t xml:space="preserve">1129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689C31D8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, w tym dokumentacji z prowadzonych robót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5592BF9D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1B77A19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</w:t>
      </w:r>
      <w:r w:rsidR="006A3A72">
        <w:rPr>
          <w:rFonts w:ascii="Times New Roman" w:hAnsi="Times New Roman" w:cs="Times New Roman"/>
          <w:sz w:val="24"/>
          <w:szCs w:val="24"/>
        </w:rPr>
        <w:t>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A3A72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58E63AC4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13B2031E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6A3A72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A3A72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73579DAD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6A3A72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5BADB0D6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="006A3A72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1C89AB79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>Rozd</w:t>
      </w:r>
      <w:r w:rsidR="006A3A72">
        <w:rPr>
          <w:rFonts w:ascii="Times New Roman" w:hAnsi="Times New Roman" w:cs="Times New Roman"/>
          <w:sz w:val="24"/>
          <w:szCs w:val="24"/>
        </w:rPr>
        <w:t xml:space="preserve">ziale V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6A3A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A3A72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C61B104" w14:textId="77777777" w:rsidR="006A3A72" w:rsidRPr="006A3A72" w:rsidRDefault="006A3A72" w:rsidP="006A3A7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3A72">
        <w:rPr>
          <w:rFonts w:ascii="Times New Roman" w:hAnsi="Times New Roman" w:cs="Times New Roman"/>
          <w:sz w:val="24"/>
          <w:szCs w:val="24"/>
        </w:rPr>
        <w:t xml:space="preserve">weryfikacji dokumentacji projektowej przekazanej przez Wykonawcę Inwestycji w terminie 7 dni i przekazanie uwag Zamawiającemu; </w:t>
      </w:r>
    </w:p>
    <w:p w14:paraId="6C1259E6" w14:textId="67E2815A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6A3A72">
        <w:rPr>
          <w:rFonts w:ascii="Times New Roman" w:hAnsi="Times New Roman" w:cs="Times New Roman"/>
          <w:sz w:val="24"/>
          <w:szCs w:val="24"/>
        </w:rPr>
        <w:t xml:space="preserve">terenie Kierownika zespołu Inżyniera Kontraktu/inspektora nadzoru specjalności drogowej 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6A3A72">
        <w:rPr>
          <w:rFonts w:ascii="Times New Roman" w:hAnsi="Times New Roman" w:cs="Times New Roman"/>
          <w:sz w:val="24"/>
          <w:szCs w:val="24"/>
        </w:rPr>
        <w:t>4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6A3A72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6A3A72">
        <w:rPr>
          <w:rFonts w:ascii="Times New Roman" w:hAnsi="Times New Roman" w:cs="Times New Roman"/>
          <w:sz w:val="24"/>
          <w:szCs w:val="24"/>
        </w:rPr>
        <w:t xml:space="preserve">prac </w:t>
      </w:r>
      <w:r w:rsidR="00C332D6" w:rsidRPr="00FD3655">
        <w:rPr>
          <w:rFonts w:ascii="Times New Roman" w:hAnsi="Times New Roman" w:cs="Times New Roman"/>
          <w:sz w:val="24"/>
          <w:szCs w:val="24"/>
        </w:rPr>
        <w:t>jest zawieszone;</w:t>
      </w:r>
    </w:p>
    <w:p w14:paraId="170FAF17" w14:textId="77777777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204DEC19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>w tygodniu w okresie wykonywania robót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4966D8CD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6435BC5A" w:rsidR="0048346E" w:rsidRPr="00271094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okresie wykonywania robót związanych z branżą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537CC06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6A3A72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1F2018EC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FD3655">
        <w:rPr>
          <w:rFonts w:ascii="Times New Roman" w:hAnsi="Times New Roman" w:cs="Times New Roman"/>
          <w:sz w:val="24"/>
          <w:szCs w:val="24"/>
        </w:rPr>
        <w:br/>
      </w:r>
      <w:r w:rsidR="00E104A5" w:rsidRPr="00FD3655">
        <w:rPr>
          <w:rFonts w:ascii="Times New Roman" w:hAnsi="Times New Roman" w:cs="Times New Roman"/>
          <w:sz w:val="24"/>
          <w:szCs w:val="24"/>
        </w:rPr>
        <w:t>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8B24A9E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516BCC10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6A3A72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3A75608E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5C9B08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1B25672E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>, 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7282BE4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0935CB5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6A3A72">
        <w:rPr>
          <w:rFonts w:ascii="Times New Roman" w:hAnsi="Times New Roman" w:cs="Times New Roman"/>
          <w:sz w:val="24"/>
          <w:szCs w:val="24"/>
        </w:rPr>
        <w:t xml:space="preserve">prac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08CB0816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A3A72">
        <w:rPr>
          <w:rFonts w:ascii="Times New Roman" w:hAnsi="Times New Roman" w:cs="Times New Roman"/>
          <w:sz w:val="24"/>
          <w:szCs w:val="24"/>
        </w:rPr>
        <w:t xml:space="preserve"> ( 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49E2A98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="00A649C3">
        <w:rPr>
          <w:rFonts w:ascii="Times New Roman" w:hAnsi="Times New Roman" w:cs="Times New Roman"/>
          <w:sz w:val="24"/>
          <w:szCs w:val="24"/>
        </w:rPr>
        <w:t>ia i wznowienia 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5472393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6A3A72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2F30EA81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A649C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63391D9F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porządzanie pisemnych opinii dotyczących wad obiektu uznanych za nie nadające się do usunięcia oraz wnioskowanie o obniżenie wynagrodzenia Wykonawcy z określeniem utraty wartości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A649C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466FF13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F087A82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2E590386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i potwierdzanie jakości dostarczanych, przez Wykonawców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1766E7C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4F3563F3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37A778DF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A649C3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A649C3">
        <w:rPr>
          <w:rFonts w:ascii="Times New Roman" w:hAnsi="Times New Roman" w:cs="Times New Roman"/>
          <w:sz w:val="24"/>
          <w:szCs w:val="24"/>
        </w:rPr>
        <w:t xml:space="preserve">ykonawcy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>w przypadku braku możliwości wyegzekwowania powyższego od Wykonawcy - wykona</w:t>
      </w:r>
      <w:r w:rsidR="00A649C3">
        <w:rPr>
          <w:rFonts w:ascii="Times New Roman" w:hAnsi="Times New Roman" w:cs="Times New Roman"/>
          <w:sz w:val="24"/>
          <w:szCs w:val="24"/>
        </w:rPr>
        <w:t>nie  inwentaryzacji wykonanych prac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 xml:space="preserve">w spotkaniach i wizytach poza miejscem realizacji umowy,  niezbędnych dla oceny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>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D7481C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2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rocznie, </w:t>
      </w:r>
      <w:bookmarkEnd w:id="2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06D2A0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A649C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3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4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5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0CCF1D46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382448E9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6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7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6DE7A244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A649C3">
        <w:rPr>
          <w:rFonts w:ascii="Times New Roman" w:hAnsi="Times New Roman" w:cs="Times New Roman"/>
          <w:sz w:val="24"/>
          <w:szCs w:val="24"/>
        </w:rPr>
        <w:t xml:space="preserve"> 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005AFA0F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8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4176" w14:textId="77777777" w:rsidR="00BE4135" w:rsidRDefault="00BE4135" w:rsidP="002D4AAD">
      <w:pPr>
        <w:spacing w:after="0" w:line="240" w:lineRule="auto"/>
      </w:pPr>
      <w:r>
        <w:separator/>
      </w:r>
    </w:p>
  </w:endnote>
  <w:endnote w:type="continuationSeparator" w:id="0">
    <w:p w14:paraId="66ADF150" w14:textId="77777777" w:rsidR="00BE4135" w:rsidRDefault="00BE4135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2E20A9A9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5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5BF7" w14:textId="77777777" w:rsidR="00BE4135" w:rsidRDefault="00BE4135" w:rsidP="002D4AAD">
      <w:pPr>
        <w:spacing w:after="0" w:line="240" w:lineRule="auto"/>
      </w:pPr>
      <w:r>
        <w:separator/>
      </w:r>
    </w:p>
  </w:footnote>
  <w:footnote w:type="continuationSeparator" w:id="0">
    <w:p w14:paraId="25D635C1" w14:textId="77777777" w:rsidR="00BE4135" w:rsidRDefault="00BE4135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5346" w14:textId="38D50570" w:rsidR="00303427" w:rsidRDefault="005D7E58" w:rsidP="00303427">
    <w:pPr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2336" behindDoc="1" locked="0" layoutInCell="1" allowOverlap="1" wp14:editId="1ADFFCD1">
          <wp:simplePos x="0" y="0"/>
          <wp:positionH relativeFrom="margin">
            <wp:posOffset>-481965</wp:posOffset>
          </wp:positionH>
          <wp:positionV relativeFrom="margin">
            <wp:posOffset>-1139825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427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1" locked="0" layoutInCell="1" allowOverlap="1" wp14:anchorId="582DC684" wp14:editId="24FE0ABE">
          <wp:simplePos x="0" y="0"/>
          <wp:positionH relativeFrom="margin">
            <wp:posOffset>-485775</wp:posOffset>
          </wp:positionH>
          <wp:positionV relativeFrom="margin">
            <wp:posOffset>-2219325</wp:posOffset>
          </wp:positionV>
          <wp:extent cx="7181850" cy="800100"/>
          <wp:effectExtent l="0" t="0" r="0" b="0"/>
          <wp:wrapSquare wrapText="bothSides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523F22" w14:textId="651384A8" w:rsidR="0065341C" w:rsidRPr="00C47D9D" w:rsidRDefault="00C47D9D" w:rsidP="00C47D9D">
    <w:pPr>
      <w:jc w:val="right"/>
      <w:rPr>
        <w:rFonts w:ascii="Times New Roman" w:hAnsi="Times New Roman" w:cs="Times New Roman"/>
        <w:b/>
        <w:snapToGrid w:val="0"/>
        <w:sz w:val="20"/>
        <w:szCs w:val="20"/>
      </w:rPr>
    </w:pPr>
    <w:r w:rsidRPr="00C47D9D">
      <w:rPr>
        <w:rFonts w:ascii="Times New Roman" w:hAnsi="Times New Roman" w:cs="Times New Roman"/>
        <w:b/>
        <w:snapToGrid w:val="0"/>
        <w:sz w:val="20"/>
        <w:szCs w:val="20"/>
      </w:rPr>
      <w:t>Załącznik nr 6.1 do SWZ BZP.271.1.</w:t>
    </w:r>
    <w:r w:rsidR="00303427">
      <w:rPr>
        <w:rFonts w:ascii="Times New Roman" w:hAnsi="Times New Roman" w:cs="Times New Roman"/>
        <w:b/>
        <w:snapToGrid w:val="0"/>
        <w:sz w:val="20"/>
        <w:szCs w:val="20"/>
      </w:rPr>
      <w:t>6</w:t>
    </w:r>
    <w:r w:rsidRPr="00C47D9D">
      <w:rPr>
        <w:rFonts w:ascii="Times New Roman" w:hAnsi="Times New Roman" w:cs="Times New Roman"/>
        <w:b/>
        <w:snapToGrid w:val="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3427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D7E58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A3A72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056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0028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49C3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5BB0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135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D9D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9CCE-A00B-4AC4-A16D-3838D838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5508</Words>
  <Characters>33049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Duczmańska Agnieszka</cp:lastModifiedBy>
  <cp:revision>7</cp:revision>
  <cp:lastPrinted>2022-05-24T13:31:00Z</cp:lastPrinted>
  <dcterms:created xsi:type="dcterms:W3CDTF">2022-01-05T09:50:00Z</dcterms:created>
  <dcterms:modified xsi:type="dcterms:W3CDTF">2022-06-24T10:06:00Z</dcterms:modified>
</cp:coreProperties>
</file>