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8FBA" w14:textId="4CC8333E"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Umowa nr </w:t>
      </w:r>
      <w:r w:rsidR="00800D73">
        <w:rPr>
          <w:rFonts w:ascii="Arial" w:eastAsia="Times New Roman" w:hAnsi="Arial" w:cs="Arial"/>
          <w:b/>
          <w:bCs/>
          <w:sz w:val="22"/>
          <w:szCs w:val="22"/>
        </w:rPr>
        <w:t>…</w:t>
      </w:r>
      <w:r w:rsidR="00E94441">
        <w:rPr>
          <w:rFonts w:ascii="Arial" w:eastAsia="Times New Roman" w:hAnsi="Arial" w:cs="Arial"/>
          <w:b/>
          <w:bCs/>
          <w:sz w:val="22"/>
          <w:szCs w:val="22"/>
        </w:rPr>
        <w:t>.PZP.202</w:t>
      </w:r>
      <w:r w:rsidR="00CA77B7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0CA19722" w14:textId="77777777"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E2FAE8C" w14:textId="46AFDCD6" w:rsidR="0061238B" w:rsidRDefault="0061238B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00D73">
        <w:rPr>
          <w:rFonts w:ascii="Arial" w:eastAsia="Times New Roman" w:hAnsi="Arial" w:cs="Arial"/>
          <w:bCs/>
          <w:sz w:val="22"/>
          <w:szCs w:val="22"/>
        </w:rPr>
        <w:t>………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14:paraId="0BF81C88" w14:textId="77777777" w:rsidR="005612DC" w:rsidRPr="00D74AED" w:rsidRDefault="005612DC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7647F75D" w14:textId="486B4D18" w:rsidR="0061238B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7797AB1" w14:textId="77777777" w:rsidR="005612DC" w:rsidRPr="00D74AED" w:rsidRDefault="005612DC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8D8BDAD" w14:textId="77777777" w:rsidR="00800D73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E94441">
        <w:rPr>
          <w:rFonts w:ascii="Arial" w:eastAsia="Times New Roman" w:hAnsi="Arial" w:cs="Arial"/>
          <w:b/>
          <w:bCs/>
          <w:sz w:val="22"/>
          <w:szCs w:val="22"/>
        </w:rPr>
        <w:t>Wykonawcą:</w:t>
      </w:r>
      <w:r w:rsidR="00800D7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41E9A811" w14:textId="6D82AAA0" w:rsidR="00AF0ED2" w:rsidRPr="00D74AED" w:rsidRDefault="00800D73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00D73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ED2" w:rsidRPr="00E94441">
        <w:rPr>
          <w:rFonts w:ascii="Arial" w:eastAsia="Times New Roman" w:hAnsi="Arial" w:cs="Arial"/>
          <w:sz w:val="22"/>
          <w:szCs w:val="22"/>
        </w:rPr>
        <w:t>.</w:t>
      </w:r>
    </w:p>
    <w:p w14:paraId="3BE162A0" w14:textId="77777777" w:rsidR="0061238B" w:rsidRPr="00E94441" w:rsidRDefault="0061238B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14:paraId="509174C8" w14:textId="77777777"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73A02A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0783E2DD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14:paraId="69A2DBE0" w14:textId="599D7CCF" w:rsidR="005A0C05" w:rsidRPr="00D74AED" w:rsidRDefault="00965E23" w:rsidP="00A57D91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CA77B7">
        <w:rPr>
          <w:rFonts w:ascii="Arial" w:eastAsia="Times New Roman" w:hAnsi="Arial" w:cs="Arial"/>
          <w:sz w:val="22"/>
          <w:szCs w:val="22"/>
        </w:rPr>
        <w:t>1</w:t>
      </w:r>
      <w:r w:rsidR="007D27E6">
        <w:rPr>
          <w:rFonts w:ascii="Arial" w:eastAsia="Times New Roman" w:hAnsi="Arial" w:cs="Arial"/>
          <w:sz w:val="22"/>
          <w:szCs w:val="22"/>
        </w:rPr>
        <w:t>7</w:t>
      </w:r>
      <w:r w:rsidR="00AF0ED2" w:rsidRPr="00D74AED">
        <w:rPr>
          <w:rFonts w:ascii="Arial" w:eastAsia="Times New Roman" w:hAnsi="Arial" w:cs="Arial"/>
          <w:sz w:val="22"/>
          <w:szCs w:val="22"/>
        </w:rPr>
        <w:t>.202</w:t>
      </w:r>
      <w:r w:rsidR="00800D73">
        <w:rPr>
          <w:rFonts w:ascii="Arial" w:eastAsia="Times New Roman" w:hAnsi="Arial" w:cs="Arial"/>
          <w:sz w:val="22"/>
          <w:szCs w:val="22"/>
        </w:rPr>
        <w:t>3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do niniejszej umowy) oraz w związku z realizacją zadania </w:t>
      </w:r>
      <w:r w:rsidR="00AF0ED2" w:rsidRPr="00A57D91">
        <w:rPr>
          <w:rFonts w:ascii="Arial" w:eastAsia="Times New Roman" w:hAnsi="Arial" w:cs="Arial"/>
          <w:sz w:val="22"/>
          <w:szCs w:val="22"/>
        </w:rPr>
        <w:t>inwestycyjnego Gminy Wiskitki pn.: „</w:t>
      </w:r>
      <w:r w:rsidR="007D27E6">
        <w:rPr>
          <w:rFonts w:ascii="Arial" w:eastAsia="Times New Roman" w:hAnsi="Arial" w:cs="Arial"/>
          <w:i/>
          <w:sz w:val="22"/>
          <w:szCs w:val="22"/>
        </w:rPr>
        <w:t>……………………………………………………………………………</w:t>
      </w:r>
      <w:r w:rsidR="00AF0ED2" w:rsidRPr="00A57D91">
        <w:rPr>
          <w:rFonts w:ascii="Arial" w:eastAsia="Times New Roman" w:hAnsi="Arial" w:cs="Arial"/>
          <w:sz w:val="22"/>
          <w:szCs w:val="22"/>
        </w:rPr>
        <w:t>”</w:t>
      </w:r>
      <w:r w:rsidR="00FB3C89" w:rsidRPr="00A57D91">
        <w:rPr>
          <w:rFonts w:ascii="Arial" w:eastAsia="Times New Roman" w:hAnsi="Arial" w:cs="Arial"/>
          <w:sz w:val="22"/>
          <w:szCs w:val="22"/>
        </w:rPr>
        <w:t>.</w:t>
      </w:r>
    </w:p>
    <w:p w14:paraId="27DA04EE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14:paraId="71FBEF28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14:paraId="6912C36C" w14:textId="77777777"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</w:t>
      </w:r>
      <w:r w:rsidR="00F803EF">
        <w:rPr>
          <w:rFonts w:ascii="Arial" w:eastAsia="Times New Roman" w:hAnsi="Arial" w:cs="Arial"/>
          <w:sz w:val="22"/>
          <w:szCs w:val="22"/>
        </w:rPr>
        <w:t>oraz załączonej dokumentacji.</w:t>
      </w:r>
    </w:p>
    <w:p w14:paraId="0FDFE3AC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14:paraId="1B2E045E" w14:textId="4363E175"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7C8BCC66" w14:textId="26E9D08E" w:rsidR="00800D73" w:rsidRDefault="007D27E6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D27E6">
        <w:rPr>
          <w:rFonts w:ascii="Arial" w:eastAsia="Times New Roman" w:hAnsi="Arial" w:cs="Arial"/>
          <w:sz w:val="22"/>
          <w:szCs w:val="22"/>
        </w:rPr>
        <w:t>Zadanie „</w:t>
      </w:r>
      <w:r>
        <w:rPr>
          <w:rFonts w:ascii="Arial" w:eastAsia="Times New Roman" w:hAnsi="Arial" w:cs="Arial"/>
          <w:sz w:val="22"/>
          <w:szCs w:val="22"/>
        </w:rPr>
        <w:t>Budowa</w:t>
      </w:r>
      <w:r w:rsidRPr="007D27E6">
        <w:rPr>
          <w:rFonts w:ascii="Arial" w:eastAsia="Times New Roman" w:hAnsi="Arial" w:cs="Arial"/>
          <w:sz w:val="22"/>
          <w:szCs w:val="22"/>
        </w:rPr>
        <w:t xml:space="preserve"> oświetlenia w Gminie Wiskitki” realizowane będzie ze środków własnych Gminy Wiskitki oraz programu wsparcia „Bezpieczne Drogi” realizowanego przez Centralny Port Komunikacyjny Sp. z o. o., umowa nr 15/PBD/2023</w:t>
      </w:r>
      <w:r w:rsidR="00800D73">
        <w:rPr>
          <w:rFonts w:ascii="Arial" w:eastAsia="Times New Roman" w:hAnsi="Arial" w:cs="Arial"/>
          <w:sz w:val="22"/>
          <w:szCs w:val="22"/>
        </w:rPr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588"/>
      </w:tblGrid>
      <w:tr w:rsidR="001E48DF" w14:paraId="1895422D" w14:textId="77777777" w:rsidTr="00593443">
        <w:trPr>
          <w:trHeight w:val="1985"/>
        </w:trPr>
        <w:tc>
          <w:tcPr>
            <w:tcW w:w="1657" w:type="pct"/>
            <w:vAlign w:val="center"/>
          </w:tcPr>
          <w:p w14:paraId="7052F13D" w14:textId="77777777" w:rsidR="001E48DF" w:rsidRDefault="001E48DF" w:rsidP="00593443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3118696D" wp14:editId="10915377">
                  <wp:extent cx="523875" cy="582252"/>
                  <wp:effectExtent l="0" t="0" r="0" b="8890"/>
                  <wp:docPr id="1025567571" name="Obraz 1025567571" descr="Obraz zawierający clipart, Grafika, ssak, ilustracj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67571" name="Obraz 1025567571" descr="Obraz zawierający clipart, Grafika, ssak, ilustracj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29" cy="59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D9DCF" w14:textId="77777777" w:rsidR="001E48DF" w:rsidRPr="00745792" w:rsidRDefault="001E48DF" w:rsidP="00593443">
            <w:pPr>
              <w:pStyle w:val="Nagwek"/>
              <w:jc w:val="center"/>
              <w:rPr>
                <w:rFonts w:ascii="Arial" w:hAnsi="Arial" w:cs="Arial"/>
              </w:rPr>
            </w:pPr>
            <w:r w:rsidRPr="00745792">
              <w:rPr>
                <w:rFonts w:ascii="Arial" w:hAnsi="Arial" w:cs="Arial"/>
              </w:rPr>
              <w:t>Gmina Wiskitki</w:t>
            </w:r>
          </w:p>
        </w:tc>
        <w:tc>
          <w:tcPr>
            <w:tcW w:w="3343" w:type="pct"/>
            <w:vAlign w:val="center"/>
          </w:tcPr>
          <w:p w14:paraId="749BD05C" w14:textId="77777777" w:rsidR="001E48DF" w:rsidRDefault="001E48DF" w:rsidP="00593443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323BC00B" wp14:editId="3943283C">
                  <wp:extent cx="2219325" cy="937895"/>
                  <wp:effectExtent l="0" t="0" r="0" b="0"/>
                  <wp:docPr id="63377297" name="Obraz 2" descr="Obraz zawierający Czcionka, Grafika, zrzut ekranu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7297" name="Obraz 2" descr="Obraz zawierający Czcionka, Grafika, zrzut ekranu, projekt graficzny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A5D8B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E937DB4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3B4A44EC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14:paraId="2B42E61B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14:paraId="4082618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lastRenderedPageBreak/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14:paraId="64E3D845" w14:textId="77777777"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14:paraId="13ECCEAC" w14:textId="77777777"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14:paraId="7EC15CC5" w14:textId="77777777"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5B10EBEC" w14:textId="77777777"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36D32111" w14:textId="77777777" w:rsidR="005612DC" w:rsidRDefault="005612DC" w:rsidP="005612DC">
      <w:pPr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7A2A6DF2" w14:textId="6A64C47F" w:rsidR="00965E23" w:rsidRPr="00D74AED" w:rsidRDefault="00965E23" w:rsidP="005612DC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48C8D686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14:paraId="5BDAA506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14:paraId="6DF9C8EB" w14:textId="77777777"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14:paraId="229DD53C" w14:textId="77777777"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14:paraId="1C0A2E0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14:paraId="4D93694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14:paraId="2B399F62" w14:textId="128FB1ED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1E48DF">
        <w:rPr>
          <w:rFonts w:ascii="Arial" w:eastAsia="Times New Roman" w:hAnsi="Arial" w:cs="Arial"/>
          <w:sz w:val="22"/>
          <w:szCs w:val="22"/>
        </w:rPr>
        <w:t>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CA431FD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21EAA6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0D7AFB32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14:paraId="42036A3B" w14:textId="77777777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14:paraId="180F34B3" w14:textId="77777777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14:paraId="411258C2" w14:textId="78A0CFCF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800D73">
        <w:rPr>
          <w:rFonts w:ascii="Arial" w:eastAsia="Times New Roman" w:hAnsi="Arial" w:cs="Arial"/>
          <w:sz w:val="22"/>
          <w:szCs w:val="22"/>
        </w:rPr>
        <w:t>…………………</w:t>
      </w:r>
      <w:r w:rsidRPr="00D74AED">
        <w:rPr>
          <w:rFonts w:ascii="Arial" w:eastAsia="Times New Roman" w:hAnsi="Arial" w:cs="Arial"/>
          <w:sz w:val="22"/>
          <w:szCs w:val="22"/>
        </w:rPr>
        <w:t>, inspektor nadzoru inwestorskiego działający na podstawie odrębnej umowy</w:t>
      </w:r>
      <w:r w:rsidR="00800D73">
        <w:rPr>
          <w:rFonts w:ascii="Arial" w:eastAsia="Times New Roman" w:hAnsi="Arial" w:cs="Arial"/>
          <w:sz w:val="22"/>
          <w:szCs w:val="22"/>
        </w:rPr>
        <w:t>.</w:t>
      </w:r>
    </w:p>
    <w:p w14:paraId="77E3DFD1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14:paraId="202112AE" w14:textId="78C48897" w:rsidR="00C35E19" w:rsidRDefault="00063D17" w:rsidP="00C35E19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800D73">
        <w:rPr>
          <w:rFonts w:ascii="Arial" w:eastAsia="Times New Roman" w:hAnsi="Arial" w:cs="Arial"/>
          <w:sz w:val="22"/>
          <w:szCs w:val="22"/>
        </w:rPr>
        <w:t>………………</w:t>
      </w:r>
      <w:r w:rsidR="00C35E19" w:rsidRPr="00C35E19">
        <w:rPr>
          <w:rFonts w:ascii="Arial" w:eastAsia="Times New Roman" w:hAnsi="Arial" w:cs="Arial"/>
          <w:sz w:val="22"/>
          <w:szCs w:val="22"/>
        </w:rPr>
        <w:t xml:space="preserve"> (dane osoby), telefon do kontaktu: </w:t>
      </w:r>
      <w:r w:rsidR="00800D73">
        <w:rPr>
          <w:rFonts w:ascii="Arial" w:eastAsia="Times New Roman" w:hAnsi="Arial" w:cs="Arial"/>
          <w:sz w:val="22"/>
          <w:szCs w:val="22"/>
        </w:rPr>
        <w:t xml:space="preserve">………………………… </w:t>
      </w:r>
      <w:r w:rsidR="00C35E19" w:rsidRPr="00C35E19">
        <w:rPr>
          <w:rFonts w:ascii="Arial" w:eastAsia="Times New Roman" w:hAnsi="Arial" w:cs="Arial"/>
          <w:sz w:val="22"/>
          <w:szCs w:val="22"/>
        </w:rPr>
        <w:t>.</w:t>
      </w:r>
    </w:p>
    <w:p w14:paraId="6FB4947A" w14:textId="77777777" w:rsidR="00C35E19" w:rsidRDefault="00C35E19" w:rsidP="00C35E19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088E4CA5" w14:textId="77777777" w:rsidR="00C35E19" w:rsidRDefault="00C35E19" w:rsidP="00C35E19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73F72C0D" w14:textId="7DB0F405" w:rsidR="00965E23" w:rsidRPr="00D74AED" w:rsidRDefault="00965E23" w:rsidP="00C35E19">
      <w:pPr>
        <w:spacing w:after="120"/>
        <w:ind w:left="426" w:hanging="356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14:paraId="6C61D99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14:paraId="00E490C8" w14:textId="6BBA20FB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800D73">
        <w:rPr>
          <w:rFonts w:ascii="Arial" w:eastAsia="Times New Roman" w:hAnsi="Arial" w:cs="Arial"/>
          <w:sz w:val="22"/>
          <w:szCs w:val="22"/>
        </w:rPr>
        <w:t>……………………</w:t>
      </w:r>
      <w:r w:rsidR="002B2750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800D73">
        <w:rPr>
          <w:rFonts w:ascii="Arial" w:eastAsia="Times New Roman" w:hAnsi="Arial" w:cs="Arial"/>
          <w:sz w:val="22"/>
          <w:szCs w:val="22"/>
        </w:rPr>
        <w:t>…………………</w:t>
      </w:r>
      <w:r w:rsidR="002B2750">
        <w:rPr>
          <w:rFonts w:ascii="Arial" w:eastAsia="Times New Roman" w:hAnsi="Arial" w:cs="Arial"/>
          <w:sz w:val="22"/>
          <w:szCs w:val="22"/>
        </w:rPr>
        <w:t>)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</w:t>
      </w:r>
      <w:r w:rsidR="00FB3C89">
        <w:rPr>
          <w:rFonts w:ascii="Arial" w:eastAsia="Times New Roman" w:hAnsi="Arial" w:cs="Arial"/>
          <w:sz w:val="22"/>
          <w:szCs w:val="22"/>
        </w:rPr>
        <w:t xml:space="preserve">poprawnie wystawionej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jednorazowej faktury, tzn. </w:t>
      </w:r>
      <w:r w:rsidR="00D008AE" w:rsidRPr="00A57D91">
        <w:rPr>
          <w:rFonts w:ascii="Arial" w:eastAsia="Times New Roman" w:hAnsi="Arial" w:cs="Arial"/>
          <w:sz w:val="22"/>
          <w:szCs w:val="22"/>
        </w:rPr>
        <w:t>bez płatności częściowych.</w:t>
      </w:r>
    </w:p>
    <w:p w14:paraId="5B92FAEF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14:paraId="30B17818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Wynagrodzenie zostanie przekazane Wykonawcy na rachunek bankowy wskazany przez Wykonawcę na fakturze, w terminie </w:t>
      </w:r>
      <w:r w:rsidR="00F803EF">
        <w:rPr>
          <w:rFonts w:ascii="Arial" w:eastAsia="Times New Roman" w:hAnsi="Arial" w:cs="Arial"/>
          <w:sz w:val="22"/>
          <w:szCs w:val="22"/>
        </w:rPr>
        <w:t>14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dni od dnia dostarczenia do siedziby Zamawiającego prawidłowo wystawionej faktury, zgodnie ze wzorem:</w:t>
      </w:r>
    </w:p>
    <w:p w14:paraId="23590AC9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14:paraId="29FF813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4A0DA7D3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08EC1901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14:paraId="6487FC8D" w14:textId="77777777"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14:paraId="4FF0881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59A280AC" w14:textId="60B2E835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7D61F772" w14:textId="0A38F99D" w:rsidR="00385080" w:rsidRDefault="00385080" w:rsidP="00385080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4. </w:t>
      </w:r>
      <w:r>
        <w:rPr>
          <w:rFonts w:ascii="Arial" w:eastAsia="Times New Roman" w:hAnsi="Arial" w:cs="Arial"/>
          <w:sz w:val="22"/>
          <w:szCs w:val="22"/>
        </w:rPr>
        <w:tab/>
      </w:r>
      <w:r w:rsidRPr="00385080">
        <w:rPr>
          <w:rFonts w:ascii="Arial" w:eastAsia="Times New Roman" w:hAnsi="Arial" w:cs="Arial"/>
          <w:sz w:val="22"/>
          <w:szCs w:val="22"/>
        </w:rPr>
        <w:t>Na fakturze Wykonawca wskaże nazwę zadania inwestycyjnego, tj.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385080">
        <w:rPr>
          <w:rFonts w:ascii="Arial" w:eastAsia="Times New Roman" w:hAnsi="Arial" w:cs="Arial"/>
          <w:i/>
          <w:iCs/>
          <w:sz w:val="22"/>
          <w:szCs w:val="22"/>
        </w:rPr>
        <w:t>„</w:t>
      </w:r>
      <w:r w:rsidR="001E48DF">
        <w:rPr>
          <w:rFonts w:ascii="Arial" w:eastAsia="Times New Roman" w:hAnsi="Arial" w:cs="Arial"/>
          <w:i/>
          <w:iCs/>
          <w:sz w:val="22"/>
          <w:szCs w:val="22"/>
        </w:rPr>
        <w:t>…………………………</w:t>
      </w:r>
      <w:r w:rsidRPr="00385080">
        <w:rPr>
          <w:rFonts w:ascii="Arial" w:eastAsia="Times New Roman" w:hAnsi="Arial" w:cs="Arial"/>
          <w:i/>
          <w:iCs/>
          <w:sz w:val="22"/>
          <w:szCs w:val="22"/>
        </w:rPr>
        <w:t>”</w:t>
      </w:r>
      <w:r>
        <w:rPr>
          <w:rFonts w:ascii="Arial" w:eastAsia="Times New Roman" w:hAnsi="Arial" w:cs="Arial"/>
          <w:i/>
          <w:iCs/>
          <w:sz w:val="22"/>
          <w:szCs w:val="22"/>
        </w:rPr>
        <w:t>.</w:t>
      </w:r>
    </w:p>
    <w:p w14:paraId="4A2F32E8" w14:textId="795B8A3A" w:rsidR="00082627" w:rsidRPr="00D74AED" w:rsidRDefault="00385080" w:rsidP="00385080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5. </w:t>
      </w:r>
      <w:r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>Podstawą do wystawienia faktury jest sporządzony i podpisany przez obydwie strony protokołu końcowego odbioru robót.</w:t>
      </w:r>
    </w:p>
    <w:p w14:paraId="0FC0C1C1" w14:textId="7A512098" w:rsidR="00D008AE" w:rsidRPr="00D74AED" w:rsidRDefault="00385080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008AE" w:rsidRPr="00D74AED">
        <w:rPr>
          <w:rFonts w:ascii="Arial" w:hAnsi="Arial" w:cs="Arial"/>
          <w:sz w:val="22"/>
          <w:szCs w:val="22"/>
        </w:rPr>
        <w:t>.</w:t>
      </w:r>
      <w:r w:rsidR="00D008AE"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14:paraId="70D5C9EC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14:paraId="54B06782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14:paraId="0E7FBAF9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14:paraId="5534A6A4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14:paraId="5FE9C6A8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2676F625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CCDBE7C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C117B1B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14:paraId="05AC8F68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14:paraId="48063F07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14:paraId="32ACDCDD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14:paraId="2CA1E4A6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14:paraId="59CD9064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14:paraId="3E292F3C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4D05E1A5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14:paraId="75AE5067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B4F7AFA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32D9086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lastRenderedPageBreak/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14:paraId="360E5E5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14:paraId="6046EF06" w14:textId="275B4B7C"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800D73">
        <w:rPr>
          <w:rFonts w:ascii="Arial" w:eastAsia="Times New Roman" w:hAnsi="Arial" w:cs="Arial"/>
          <w:sz w:val="22"/>
          <w:szCs w:val="22"/>
        </w:rPr>
        <w:t>………………</w:t>
      </w:r>
      <w:r w:rsidR="002B2750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800D73">
        <w:rPr>
          <w:rFonts w:ascii="Arial" w:eastAsia="Times New Roman" w:hAnsi="Arial" w:cs="Arial"/>
          <w:sz w:val="22"/>
          <w:szCs w:val="22"/>
        </w:rPr>
        <w:t xml:space="preserve">………………………………,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w formie </w:t>
      </w:r>
      <w:r w:rsidR="00D008AE" w:rsidRPr="00800D73">
        <w:rPr>
          <w:rFonts w:ascii="Arial" w:eastAsia="Times New Roman" w:hAnsi="Arial" w:cs="Arial"/>
          <w:sz w:val="22"/>
          <w:szCs w:val="22"/>
        </w:rPr>
        <w:t>……</w:t>
      </w:r>
      <w:r w:rsidRPr="00800D73">
        <w:rPr>
          <w:rFonts w:ascii="Arial" w:eastAsia="Times New Roman" w:hAnsi="Arial" w:cs="Arial"/>
          <w:sz w:val="22"/>
          <w:szCs w:val="22"/>
        </w:rPr>
        <w:t>.</w:t>
      </w:r>
      <w:r w:rsidR="00D008AE" w:rsidRPr="00800D73">
        <w:rPr>
          <w:rFonts w:ascii="Arial" w:eastAsia="Times New Roman" w:hAnsi="Arial" w:cs="Arial"/>
          <w:sz w:val="22"/>
          <w:szCs w:val="22"/>
        </w:rPr>
        <w:t>.</w:t>
      </w:r>
    </w:p>
    <w:p w14:paraId="1C4C9FD5" w14:textId="77777777"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429C8260" w14:textId="0B4C7A39"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Zamawiający pozostawia na zabezpieczenie roszczeń z tytułu rękojmi za wady lub gwarancji kwotę</w:t>
      </w:r>
      <w:r w:rsidR="00800D73">
        <w:rPr>
          <w:rFonts w:ascii="Arial" w:eastAsia="Times New Roman" w:hAnsi="Arial" w:cs="Arial"/>
          <w:sz w:val="22"/>
          <w:szCs w:val="22"/>
        </w:rPr>
        <w:t>…………………………………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14:paraId="0942681B" w14:textId="77777777"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3A0955F" w14:textId="77777777"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14:paraId="528F34E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14:paraId="5AEC6DA2" w14:textId="77777777"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14:paraId="3B36CE26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408F49AB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14:paraId="5409F1FF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14:paraId="1C95AB6A" w14:textId="77777777"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14:paraId="34DDCAF0" w14:textId="77777777"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14:paraId="3BBF3354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 jeżeli łączna wartość zmian jest mniejsza niż progi 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120E4B3" w14:textId="77777777"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14:paraId="55F26FEE" w14:textId="77777777"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0BCF38C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14:paraId="7BD825E3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14:paraId="2E32621D" w14:textId="77777777"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DEAB4B2" w14:textId="77777777"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14:paraId="1022F96B" w14:textId="77777777"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Ustala się następujące sankcje z tytułu niespełnienia wymagań określonych w art. 95 ust. 1 </w:t>
      </w:r>
      <w:proofErr w:type="spellStart"/>
      <w:r w:rsidRPr="00D74AED">
        <w:rPr>
          <w:rFonts w:ascii="Arial" w:hAnsi="Arial" w:cs="Arial"/>
          <w:sz w:val="22"/>
          <w:szCs w:val="22"/>
        </w:rPr>
        <w:t>p.z.p</w:t>
      </w:r>
      <w:proofErr w:type="spellEnd"/>
      <w:r w:rsidRPr="00D74AED">
        <w:rPr>
          <w:rFonts w:ascii="Arial" w:hAnsi="Arial" w:cs="Arial"/>
          <w:sz w:val="22"/>
          <w:szCs w:val="22"/>
        </w:rPr>
        <w:t>.</w:t>
      </w:r>
      <w:r w:rsidR="00E54CD5" w:rsidRPr="00D74AED">
        <w:rPr>
          <w:rFonts w:ascii="Arial" w:hAnsi="Arial" w:cs="Arial"/>
          <w:sz w:val="22"/>
          <w:szCs w:val="22"/>
        </w:rPr>
        <w:t xml:space="preserve">: w przypadku braku zawartej umowy o pracę Wykonawca zapłaci Zamawiającemu karę umowną w wysokości 0,1% wartości brutto umowy za każdy dzień od dnia zawarcia niniejszej </w:t>
      </w:r>
      <w:r w:rsidR="00E54CD5" w:rsidRPr="00D74AED">
        <w:rPr>
          <w:rFonts w:ascii="Arial" w:hAnsi="Arial" w:cs="Arial"/>
          <w:sz w:val="22"/>
          <w:szCs w:val="22"/>
        </w:rPr>
        <w:lastRenderedPageBreak/>
        <w:t>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14:paraId="28C72ECD" w14:textId="77777777"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7C5B3966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52B5F078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14:paraId="28D71385" w14:textId="77777777"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14:paraId="5E14ACAE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14:paraId="5A318778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14:paraId="3926F4E4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268D90B1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1FF4A32E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0724DD21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14:paraId="2C43DE0E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14:paraId="42AA993A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14:paraId="25C50D41" w14:textId="77777777" w:rsidR="00D74AED" w:rsidRPr="00D74AED" w:rsidRDefault="00B32EBB" w:rsidP="00F803EF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139A3F86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14:paraId="1F83A10B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14:paraId="17C5E0AA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14:paraId="1D48A00B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dostarczenia takiej umowy lub jej zmiany;</w:t>
      </w:r>
    </w:p>
    <w:p w14:paraId="06308803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14:paraId="0EDE8F8B" w14:textId="77777777"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B3580AC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1E95EA4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14:paraId="784A5F11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14:paraId="582DF9DF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</w:t>
      </w:r>
      <w:r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przewidzieć w chwili zawarcia umowy, lub dalsze wykonywanie umowy może zagrozić podstawowemu interesowi bezpieczeństwa państwa lub bezpieczeństwu publicznemu; </w:t>
      </w:r>
    </w:p>
    <w:p w14:paraId="76D7D306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14:paraId="50C7866A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14:paraId="117C6674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14:paraId="6C7330BA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14:paraId="1A213F71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Zamawiający odstępuje od umowy w części, której zmiana dotyczy. </w:t>
      </w:r>
    </w:p>
    <w:p w14:paraId="088B8CE0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14:paraId="6CA8110A" w14:textId="77777777"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6A29829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26B4032F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14:paraId="62EAF4F1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14:paraId="6AC3BDB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251A1C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</w:t>
      </w:r>
      <w:proofErr w:type="spellStart"/>
      <w:r w:rsidRPr="00D74AED">
        <w:rPr>
          <w:rFonts w:ascii="Arial" w:hAnsi="Arial" w:cs="Arial"/>
          <w:sz w:val="22"/>
          <w:szCs w:val="22"/>
        </w:rPr>
        <w:t>t.j</w:t>
      </w:r>
      <w:proofErr w:type="spellEnd"/>
      <w:r w:rsidRPr="00D74AED">
        <w:rPr>
          <w:rFonts w:ascii="Arial" w:hAnsi="Arial" w:cs="Arial"/>
          <w:sz w:val="22"/>
          <w:szCs w:val="22"/>
        </w:rPr>
        <w:t>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14:paraId="40B7D450" w14:textId="77777777"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14:paraId="6758E17E" w14:textId="77777777"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14:paraId="57CF9635" w14:textId="77777777"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88E8BF5" w14:textId="77777777" w:rsidR="00D74AED" w:rsidRPr="00D74AED" w:rsidRDefault="00D74AED" w:rsidP="00C67073">
      <w:pPr>
        <w:tabs>
          <w:tab w:val="right" w:pos="9072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7F9BFEC1" w14:textId="77777777"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14:paraId="1E8940A1" w14:textId="77777777"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99BC" w14:textId="77777777" w:rsidR="00E33250" w:rsidRDefault="00E33250">
      <w:r>
        <w:separator/>
      </w:r>
    </w:p>
  </w:endnote>
  <w:endnote w:type="continuationSeparator" w:id="0">
    <w:p w14:paraId="3F0E87CB" w14:textId="77777777" w:rsidR="00E33250" w:rsidRDefault="00E3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77D0" w14:textId="77777777" w:rsidR="001E48DF" w:rsidRDefault="001E48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B8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F803EF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7ECB" w14:textId="77777777" w:rsidR="001E48DF" w:rsidRDefault="001E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DBDE" w14:textId="77777777" w:rsidR="00E33250" w:rsidRDefault="00E33250">
      <w:r>
        <w:separator/>
      </w:r>
    </w:p>
  </w:footnote>
  <w:footnote w:type="continuationSeparator" w:id="0">
    <w:p w14:paraId="7B29AE9D" w14:textId="77777777" w:rsidR="00E33250" w:rsidRDefault="00E3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E6C4" w14:textId="77777777" w:rsidR="001E48DF" w:rsidRDefault="001E48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6588"/>
    </w:tblGrid>
    <w:tr w:rsidR="001E48DF" w14:paraId="3A4E8092" w14:textId="77777777" w:rsidTr="00593443">
      <w:trPr>
        <w:trHeight w:val="1985"/>
      </w:trPr>
      <w:tc>
        <w:tcPr>
          <w:tcW w:w="1657" w:type="pct"/>
          <w:vAlign w:val="center"/>
        </w:tcPr>
        <w:p w14:paraId="0943FA82" w14:textId="77777777" w:rsidR="001E48DF" w:rsidRDefault="001E48DF" w:rsidP="001E48D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0A73D0C" wp14:editId="5ADDF7A9">
                <wp:extent cx="523875" cy="582252"/>
                <wp:effectExtent l="0" t="0" r="0" b="8890"/>
                <wp:docPr id="800754804" name="Obraz 800754804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567571" name="Obraz 102556757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EDF41E" w14:textId="77777777" w:rsidR="001E48DF" w:rsidRPr="00745792" w:rsidRDefault="001E48DF" w:rsidP="001E48DF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</w:rPr>
            <w:t>Gmina Wiskitki</w:t>
          </w:r>
        </w:p>
      </w:tc>
      <w:tc>
        <w:tcPr>
          <w:tcW w:w="3343" w:type="pct"/>
          <w:vAlign w:val="center"/>
        </w:tcPr>
        <w:p w14:paraId="36BAE0CA" w14:textId="77777777" w:rsidR="001E48DF" w:rsidRDefault="001E48DF" w:rsidP="001E48D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072E371" wp14:editId="228C1FBF">
                <wp:extent cx="2219325" cy="937895"/>
                <wp:effectExtent l="0" t="0" r="0" b="0"/>
                <wp:docPr id="1910618420" name="Obraz 191061842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618420" name="Obraz 1910618420" descr="Obraz zawierający Czcionka, Grafika, zrzut ekranu, projekt graficzn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CC4D9" w14:textId="77777777" w:rsidR="001E48DF" w:rsidRPr="001E48DF" w:rsidRDefault="001E48DF" w:rsidP="001E48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A55B" w14:textId="77777777" w:rsidR="001E48DF" w:rsidRDefault="001E4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3CD293D0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45795111">
    <w:abstractNumId w:val="0"/>
  </w:num>
  <w:num w:numId="2" w16cid:durableId="363943119">
    <w:abstractNumId w:val="1"/>
  </w:num>
  <w:num w:numId="3" w16cid:durableId="1184201663">
    <w:abstractNumId w:val="2"/>
  </w:num>
  <w:num w:numId="4" w16cid:durableId="1162693406">
    <w:abstractNumId w:val="3"/>
  </w:num>
  <w:num w:numId="5" w16cid:durableId="1742633101">
    <w:abstractNumId w:val="4"/>
  </w:num>
  <w:num w:numId="6" w16cid:durableId="186856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63D17"/>
    <w:rsid w:val="00082627"/>
    <w:rsid w:val="001956CB"/>
    <w:rsid w:val="001E48DF"/>
    <w:rsid w:val="002A412F"/>
    <w:rsid w:val="002B2750"/>
    <w:rsid w:val="002D1C9D"/>
    <w:rsid w:val="002D45DA"/>
    <w:rsid w:val="00323616"/>
    <w:rsid w:val="003561A6"/>
    <w:rsid w:val="00362D1F"/>
    <w:rsid w:val="00385080"/>
    <w:rsid w:val="003876EE"/>
    <w:rsid w:val="003F5BE7"/>
    <w:rsid w:val="00496F09"/>
    <w:rsid w:val="004B4537"/>
    <w:rsid w:val="00500F92"/>
    <w:rsid w:val="00547C76"/>
    <w:rsid w:val="00556B97"/>
    <w:rsid w:val="005612DC"/>
    <w:rsid w:val="00572D99"/>
    <w:rsid w:val="0057545B"/>
    <w:rsid w:val="005A0C05"/>
    <w:rsid w:val="0061238B"/>
    <w:rsid w:val="00633FAD"/>
    <w:rsid w:val="00635595"/>
    <w:rsid w:val="006730EE"/>
    <w:rsid w:val="006C4162"/>
    <w:rsid w:val="00743473"/>
    <w:rsid w:val="00786916"/>
    <w:rsid w:val="007B584F"/>
    <w:rsid w:val="007D27E6"/>
    <w:rsid w:val="00800D73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E146B"/>
    <w:rsid w:val="00A170BE"/>
    <w:rsid w:val="00A57D91"/>
    <w:rsid w:val="00AC7C5B"/>
    <w:rsid w:val="00AE3FFB"/>
    <w:rsid w:val="00AF0ED2"/>
    <w:rsid w:val="00B148D6"/>
    <w:rsid w:val="00B20FE3"/>
    <w:rsid w:val="00B32EBB"/>
    <w:rsid w:val="00B75F39"/>
    <w:rsid w:val="00C35E19"/>
    <w:rsid w:val="00C67073"/>
    <w:rsid w:val="00CA77B7"/>
    <w:rsid w:val="00D008AE"/>
    <w:rsid w:val="00D56714"/>
    <w:rsid w:val="00D74AED"/>
    <w:rsid w:val="00DD3F0C"/>
    <w:rsid w:val="00DF74F2"/>
    <w:rsid w:val="00E33250"/>
    <w:rsid w:val="00E54CD5"/>
    <w:rsid w:val="00E94441"/>
    <w:rsid w:val="00EA2FD5"/>
    <w:rsid w:val="00EF27B5"/>
    <w:rsid w:val="00F731EF"/>
    <w:rsid w:val="00F803EF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AFCBB"/>
  <w14:defaultImageDpi w14:val="0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19</cp:revision>
  <cp:lastPrinted>2021-02-03T14:03:00Z</cp:lastPrinted>
  <dcterms:created xsi:type="dcterms:W3CDTF">2021-06-11T09:30:00Z</dcterms:created>
  <dcterms:modified xsi:type="dcterms:W3CDTF">2023-08-24T21:13:00Z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