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2600" w14:textId="537DB2CD" w:rsidR="003D08B3" w:rsidRPr="00FC1902" w:rsidRDefault="003D08B3" w:rsidP="003D08B3">
      <w:pPr>
        <w:pStyle w:val="Akapitzlist"/>
        <w:ind w:left="5676" w:firstLine="696"/>
        <w:jc w:val="both"/>
        <w:rPr>
          <w:rFonts w:ascii="Arial" w:hAnsi="Arial" w:cs="Arial"/>
          <w:sz w:val="20"/>
          <w:szCs w:val="20"/>
        </w:rPr>
      </w:pPr>
      <w:r w:rsidRPr="00FC1902">
        <w:rPr>
          <w:rFonts w:ascii="Arial" w:hAnsi="Arial" w:cs="Arial"/>
          <w:sz w:val="20"/>
          <w:szCs w:val="20"/>
        </w:rPr>
        <w:t xml:space="preserve">Kraków, dnia </w:t>
      </w:r>
      <w:r>
        <w:rPr>
          <w:rFonts w:ascii="Arial" w:hAnsi="Arial" w:cs="Arial"/>
          <w:sz w:val="20"/>
          <w:szCs w:val="20"/>
        </w:rPr>
        <w:t>26</w:t>
      </w:r>
      <w:r w:rsidRPr="00FC1902">
        <w:rPr>
          <w:rFonts w:ascii="Arial" w:hAnsi="Arial" w:cs="Arial"/>
          <w:sz w:val="20"/>
          <w:szCs w:val="20"/>
        </w:rPr>
        <w:t>.06.2024</w:t>
      </w:r>
    </w:p>
    <w:p w14:paraId="57D4ACEF" w14:textId="77777777" w:rsidR="003D08B3" w:rsidRPr="00FC1902" w:rsidRDefault="003D08B3" w:rsidP="003D08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4FB42FD" w14:textId="77777777" w:rsidR="003D08B3" w:rsidRPr="00FC1902" w:rsidRDefault="003D08B3" w:rsidP="003D08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645A88C" w14:textId="77777777" w:rsidR="003D08B3" w:rsidRPr="00FC1902" w:rsidRDefault="003D08B3" w:rsidP="003D08B3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  <w:r w:rsidRPr="00FC1902">
        <w:rPr>
          <w:rFonts w:ascii="Arial" w:hAnsi="Arial" w:cs="Arial"/>
          <w:b/>
          <w:bCs/>
          <w:sz w:val="20"/>
          <w:szCs w:val="20"/>
        </w:rPr>
        <w:t>ZAWIADOMIENIE</w:t>
      </w:r>
    </w:p>
    <w:p w14:paraId="395FC506" w14:textId="77777777" w:rsidR="003D08B3" w:rsidRPr="00FC1902" w:rsidRDefault="003D08B3" w:rsidP="003D08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A163991" w14:textId="77777777" w:rsidR="003D08B3" w:rsidRPr="003D08B3" w:rsidRDefault="003D08B3" w:rsidP="003D08B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C1902">
        <w:rPr>
          <w:rFonts w:ascii="Arial" w:hAnsi="Arial" w:cs="Arial"/>
          <w:sz w:val="20"/>
          <w:szCs w:val="20"/>
        </w:rPr>
        <w:t xml:space="preserve">W odpowiedzi na pytania zadane przez Wykonawców biorących udział w postępowaniu </w:t>
      </w:r>
      <w:r>
        <w:rPr>
          <w:rFonts w:ascii="Arial" w:hAnsi="Arial" w:cs="Arial"/>
          <w:sz w:val="20"/>
          <w:szCs w:val="20"/>
        </w:rPr>
        <w:t>na</w:t>
      </w:r>
      <w:r w:rsidRPr="00FC1902">
        <w:rPr>
          <w:rFonts w:ascii="Arial" w:hAnsi="Arial" w:cs="Arial"/>
          <w:sz w:val="20"/>
          <w:szCs w:val="20"/>
        </w:rPr>
        <w:t xml:space="preserve"> udzielenie zamówienia publicznego, którego przedmiotem jest „USŁUGA UBEZPIECZENIA SAMODZIELNEGO </w:t>
      </w:r>
      <w:r w:rsidRPr="003D08B3">
        <w:rPr>
          <w:rFonts w:ascii="Arial" w:hAnsi="Arial" w:cs="Arial"/>
          <w:sz w:val="20"/>
          <w:szCs w:val="20"/>
        </w:rPr>
        <w:t>PUBLICZNEGO ZAKŁADU OPIEKI ZDROWOTNEJ</w:t>
      </w:r>
    </w:p>
    <w:p w14:paraId="31AB46F8" w14:textId="77777777" w:rsidR="003D08B3" w:rsidRPr="00FC1902" w:rsidRDefault="003D08B3" w:rsidP="003D08B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D08B3">
        <w:rPr>
          <w:rFonts w:ascii="Arial" w:hAnsi="Arial" w:cs="Arial"/>
          <w:sz w:val="20"/>
          <w:szCs w:val="20"/>
        </w:rPr>
        <w:t>MINISTERSTWA SPRAW WEWNĘTRZNYCH I ADMINISTRACJI W KRAKOWIE (2 Części), numer sprawy:  ZP-09/25, Zamawiający udziela następujących odpowiedzi i zmodyfikowaną część poufną przekazuje wykonawcom, którzy zawnioskowali o udostępnienie części poufnej.</w:t>
      </w:r>
    </w:p>
    <w:p w14:paraId="6107A1AF" w14:textId="77777777" w:rsidR="003D08B3" w:rsidRDefault="003D08B3" w:rsidP="003D08B3">
      <w:pPr>
        <w:pStyle w:val="Akapitzlist"/>
        <w:spacing w:after="0" w:line="240" w:lineRule="auto"/>
        <w:ind w:left="502"/>
        <w:jc w:val="both"/>
        <w:rPr>
          <w:rFonts w:ascii="Calibri" w:hAnsi="Calibri" w:cs="Calibri"/>
          <w:sz w:val="20"/>
          <w:szCs w:val="20"/>
        </w:rPr>
      </w:pPr>
    </w:p>
    <w:p w14:paraId="6AD77A3D" w14:textId="4B824E6E" w:rsidR="00287CDD" w:rsidRPr="00664AE7" w:rsidRDefault="00EB5B3A" w:rsidP="009556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Prosimy o zmodyfikowanie treści klauzul/postanowień dodatkowych poprzez poprzedzenie treści każdej/każdego z nich zapisem: „Z zachowaniem pozostałych niezmienionych niniejszą klauzulą postanowień umowy ubezpieczenia i Ogólnych Warunków Ubezpieczenia ustala się, że:”</w:t>
      </w:r>
    </w:p>
    <w:p w14:paraId="67248214" w14:textId="4139E15E" w:rsidR="00EB5B3A" w:rsidRPr="00664AE7" w:rsidRDefault="00EB5B3A" w:rsidP="0095565D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 Zamawiający wyraża zgodę na modyfikację.</w:t>
      </w:r>
    </w:p>
    <w:p w14:paraId="442995E7" w14:textId="77777777" w:rsidR="00EB5B3A" w:rsidRPr="00664AE7" w:rsidRDefault="00EB5B3A" w:rsidP="0095565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59AFFC6" w14:textId="77777777" w:rsidR="00EB5B3A" w:rsidRPr="00664AE7" w:rsidRDefault="00EB5B3A" w:rsidP="009556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Prosimy o informację, czy mienie będące przedmiotem ubezpieczenia lub pozostające w związku z ubezpieczeniem odpowiedzialności cywilnej jest zabezpieczone w sposób przewidziany obowiązującymi przepisami aktów prawnych w zakresie ochrony przeciwpożarowej, w szczególności:</w:t>
      </w:r>
    </w:p>
    <w:p w14:paraId="06534219" w14:textId="77777777" w:rsidR="00EB5B3A" w:rsidRPr="00664AE7" w:rsidRDefault="00EB5B3A" w:rsidP="009556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Ustawą z dnia 24.08.1991 r. o ochronie przeciwpożarowej (Dz.U. 1991 Nr 81 poz. 351 z późn. zm.);</w:t>
      </w:r>
    </w:p>
    <w:p w14:paraId="431B7387" w14:textId="77777777" w:rsidR="00EB5B3A" w:rsidRPr="00664AE7" w:rsidRDefault="00EB5B3A" w:rsidP="009556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Rozporządzeniem Ministra Infrastruktury z dnia 12.04.2002 r. w sprawie warunków technicznych, jakimi powinny odpowiadać budynki i ich usytuowanie (Dz.U. 2002 nr 75 poz. 690 z późn. zm.);</w:t>
      </w:r>
    </w:p>
    <w:p w14:paraId="0F2BCF99" w14:textId="77777777" w:rsidR="00EB5B3A" w:rsidRPr="00664AE7" w:rsidRDefault="00EB5B3A" w:rsidP="009556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Rozporządzeniem Ministra Spraw Wewnętrznych i Administracji z dnia 7.06.2010 r. w sprawie ochrony przeciwpożarowej budynków, innych obiektów budowlanych i terenów (Dz.U z 2015 r. poz. 1422).</w:t>
      </w:r>
    </w:p>
    <w:p w14:paraId="1EC7D3FC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31C353F" w14:textId="77777777" w:rsidR="00EB5B3A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Jeżeli odpowiedź brzmi nie to prosimy o wskazanie jakie warunki nie zostały spełnione i dlaczego.</w:t>
      </w:r>
    </w:p>
    <w:p w14:paraId="2EEF913E" w14:textId="5B5695E6" w:rsidR="00EB5B3A" w:rsidRPr="00664AE7" w:rsidRDefault="00EB5B3A" w:rsidP="0095565D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x-none" w:eastAsia="x-none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 xml:space="preserve">Odpowiedź: Zgodnie z informacją zawartą w charakterystyce </w:t>
      </w:r>
      <w:r w:rsidR="00E45750">
        <w:rPr>
          <w:rFonts w:ascii="Calibri" w:hAnsi="Calibri" w:cs="Calibri"/>
          <w:b/>
          <w:bCs/>
          <w:sz w:val="20"/>
          <w:szCs w:val="20"/>
        </w:rPr>
        <w:t>Z</w:t>
      </w:r>
      <w:r w:rsidRPr="00664AE7">
        <w:rPr>
          <w:rFonts w:ascii="Calibri" w:hAnsi="Calibri" w:cs="Calibri"/>
          <w:b/>
          <w:bCs/>
          <w:sz w:val="20"/>
          <w:szCs w:val="20"/>
        </w:rPr>
        <w:t xml:space="preserve">amawiającego </w:t>
      </w:r>
      <w:r w:rsidRPr="00664AE7">
        <w:rPr>
          <w:rFonts w:ascii="Calibri" w:hAnsi="Calibri" w:cs="Calibri"/>
          <w:b/>
          <w:bCs/>
          <w:sz w:val="20"/>
          <w:szCs w:val="20"/>
          <w:lang w:val="x-none" w:eastAsia="x-none"/>
        </w:rPr>
        <w:t>wszystkie ubezpieczane budynki spełniają wszystkie wymogi w zakresie bezpieczeństwa przeciwpożarowego określone obowiązującymi przepisami prawa.</w:t>
      </w:r>
      <w:r w:rsidR="00664AE7" w:rsidRPr="00664AE7">
        <w:rPr>
          <w:rFonts w:ascii="Calibri" w:hAnsi="Calibri" w:cs="Calibri"/>
          <w:b/>
          <w:bCs/>
          <w:sz w:val="20"/>
          <w:szCs w:val="20"/>
          <w:lang w:val="x-none" w:eastAsia="x-none"/>
        </w:rPr>
        <w:t xml:space="preserve"> </w:t>
      </w:r>
      <w:r w:rsidR="00664AE7" w:rsidRPr="00664AE7">
        <w:rPr>
          <w:rFonts w:ascii="Calibri" w:hAnsi="Calibri" w:cs="Calibri"/>
          <w:b/>
          <w:bCs/>
          <w:sz w:val="20"/>
          <w:szCs w:val="20"/>
          <w:lang w:eastAsia="pl-PL"/>
        </w:rPr>
        <w:t>Wszystkie zgłoszone do ubezpieczenia budynki posiadają pozwolenie na użytkowanie stosownie do aktualnego przeznaczenia.</w:t>
      </w:r>
      <w:r w:rsidR="00664AE7" w:rsidRPr="00664AE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64AE7" w:rsidRPr="00664AE7">
        <w:rPr>
          <w:rFonts w:ascii="Calibri" w:hAnsi="Calibri" w:cs="Calibri"/>
          <w:b/>
          <w:bCs/>
          <w:sz w:val="20"/>
          <w:szCs w:val="20"/>
          <w:lang w:eastAsia="pl-PL"/>
        </w:rPr>
        <w:t xml:space="preserve">Są użytkowane i utrzymywane zgodnie z przepisami prawa budowlanego. </w:t>
      </w:r>
    </w:p>
    <w:p w14:paraId="1C33B5C3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6D0C7B2" w14:textId="77777777" w:rsidR="00EB5B3A" w:rsidRPr="00664AE7" w:rsidRDefault="00EB5B3A" w:rsidP="009556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Prosimy o informację, czy obiekty budowlane oraz wykorzystywane instalacje techniczne podlegają regularnym przeglądom okresowym stanu technicznego i/lub dozorowi technicznemu, wykonywanym przez uprawnione podmioty. W protokołach z dokonanych przeglądów nie stwierdzono zastrzeżeń warunkujących ich użytkowanie. W szczególności przeglądy okresowe dotyczą:</w:t>
      </w:r>
    </w:p>
    <w:p w14:paraId="1289A094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przydatności do użytkowania obiektu budowlanego, estetyki obiektu budowlanego oraz jego otoczenia;</w:t>
      </w:r>
    </w:p>
    <w:p w14:paraId="44E207FC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sprzętu przeciwpożarowego;</w:t>
      </w:r>
    </w:p>
    <w:p w14:paraId="2E592D8F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instalacji elektrycznej i odgromowej;</w:t>
      </w:r>
    </w:p>
    <w:p w14:paraId="2E3586B7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instalacji gazowej;</w:t>
      </w:r>
    </w:p>
    <w:p w14:paraId="567DE40F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przewodów kominowych (dymowe, spalinowe, wentylacyjne);</w:t>
      </w:r>
    </w:p>
    <w:p w14:paraId="36A2FB87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instalacji gazów medycznych;</w:t>
      </w:r>
    </w:p>
    <w:p w14:paraId="259828FC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instalacji wodociągowej przeciwpożarowej;</w:t>
      </w:r>
    </w:p>
    <w:p w14:paraId="59691533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instalacji ciśnieniowych;</w:t>
      </w:r>
    </w:p>
    <w:p w14:paraId="2F5F3493" w14:textId="77777777" w:rsidR="00EB5B3A" w:rsidRPr="00664AE7" w:rsidRDefault="00EB5B3A" w:rsidP="009556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urządzeń dźwigowych.</w:t>
      </w:r>
    </w:p>
    <w:p w14:paraId="7270A638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6A5A2BC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Jeżeli odpowiedź brzmi nie to prosimy o wskazanie jakie warunki nie zostały spełnione i dlaczego.</w:t>
      </w:r>
    </w:p>
    <w:p w14:paraId="2AEE739B" w14:textId="23C178EA" w:rsidR="00664AE7" w:rsidRPr="00664AE7" w:rsidRDefault="00EB5B3A" w:rsidP="0095565D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</w:t>
      </w:r>
      <w:r w:rsidR="00664AE7" w:rsidRPr="00664AE7">
        <w:rPr>
          <w:rFonts w:ascii="Calibri" w:hAnsi="Calibri" w:cs="Calibri"/>
          <w:b/>
          <w:bCs/>
          <w:sz w:val="20"/>
          <w:szCs w:val="20"/>
        </w:rPr>
        <w:t xml:space="preserve"> Zgodnie z informacją zawartą w charakterystyce </w:t>
      </w:r>
      <w:r w:rsidR="00030730">
        <w:rPr>
          <w:rFonts w:ascii="Calibri" w:hAnsi="Calibri" w:cs="Calibri"/>
          <w:b/>
          <w:bCs/>
          <w:sz w:val="20"/>
          <w:szCs w:val="20"/>
        </w:rPr>
        <w:t>Z</w:t>
      </w:r>
      <w:r w:rsidR="00664AE7" w:rsidRPr="00664AE7">
        <w:rPr>
          <w:rFonts w:ascii="Calibri" w:hAnsi="Calibri" w:cs="Calibri"/>
          <w:b/>
          <w:bCs/>
          <w:sz w:val="20"/>
          <w:szCs w:val="20"/>
        </w:rPr>
        <w:t>amawiającego</w:t>
      </w:r>
      <w:r w:rsidR="00664AE7" w:rsidRPr="00664AE7">
        <w:rPr>
          <w:rFonts w:ascii="Calibri" w:hAnsi="Calibri" w:cs="Calibri"/>
          <w:b/>
          <w:bCs/>
          <w:sz w:val="20"/>
          <w:szCs w:val="20"/>
          <w:lang w:eastAsia="pl-PL"/>
        </w:rPr>
        <w:t xml:space="preserve"> Budynki i ich instalacje techniczne poddawane są regularnym przeglądom okresowym stanu technicznego i/lub dozorowi technicznemu, wykonywanym przez uprawnione podmioty. Budynki i ich instalacje posiadają aktualne protokoły z okresowych przeglądów stanu technicznego obiektu budowlanego.</w:t>
      </w:r>
    </w:p>
    <w:p w14:paraId="7B60F1D1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129D1DD" w14:textId="77777777" w:rsidR="00EB5B3A" w:rsidRDefault="00EB5B3A" w:rsidP="009556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lastRenderedPageBreak/>
        <w:t>Prosimy o informację, jakie dokładnie zostały wykonane prace budowlane wymagające pozwolenia na budowę w ciągu ostatnich 5 lat wraz z określeniem ich wartości.</w:t>
      </w:r>
    </w:p>
    <w:p w14:paraId="7BA42BB9" w14:textId="1CA4ABDE" w:rsidR="00EB5B3A" w:rsidRPr="00664AE7" w:rsidRDefault="00EB5B3A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</w:t>
      </w:r>
      <w:r w:rsidR="00664AE7" w:rsidRPr="00664AE7">
        <w:rPr>
          <w:rFonts w:ascii="Calibri" w:hAnsi="Calibri" w:cs="Calibri"/>
          <w:b/>
          <w:bCs/>
          <w:sz w:val="20"/>
          <w:szCs w:val="20"/>
        </w:rPr>
        <w:t xml:space="preserve"> Zamawiający odsyła do charakterystyki Zamawiającego gdzie znajduje się informacja o przeprowadzonych remontach w okresie ostatnich 5 lat.</w:t>
      </w:r>
    </w:p>
    <w:p w14:paraId="4C64FDB3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965A3E0" w14:textId="77777777" w:rsidR="00EB5B3A" w:rsidRPr="003D08B3" w:rsidRDefault="00EB5B3A" w:rsidP="009556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08B3">
        <w:rPr>
          <w:rFonts w:ascii="Calibri" w:hAnsi="Calibri" w:cs="Calibri"/>
          <w:sz w:val="20"/>
          <w:szCs w:val="20"/>
        </w:rPr>
        <w:t>Prosimy o informację, czy są lub będą zgłoszone do ubezpieczenia namioty, wiaty, obiekty kontenerowe, altany? Jeżeli odpowiedź brzmi tak to prosimy o wyodrębnienie ich wartości oraz podanie informacji na temat ich lokalizacji</w:t>
      </w:r>
    </w:p>
    <w:p w14:paraId="2B4CBF23" w14:textId="688E45E5" w:rsidR="00EB5B3A" w:rsidRPr="003D08B3" w:rsidRDefault="00EB5B3A" w:rsidP="003D08B3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3D08B3">
        <w:rPr>
          <w:rFonts w:ascii="Calibri" w:hAnsi="Calibri" w:cs="Calibri"/>
          <w:b/>
          <w:bCs/>
          <w:sz w:val="20"/>
          <w:szCs w:val="20"/>
        </w:rPr>
        <w:t>Odpowiedź:</w:t>
      </w:r>
      <w:r w:rsidR="003D08B3" w:rsidRPr="003D08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F4E30" w:rsidRPr="003D08B3">
        <w:rPr>
          <w:rFonts w:ascii="Calibri" w:hAnsi="Calibri" w:cs="Calibri"/>
          <w:b/>
          <w:bCs/>
          <w:sz w:val="20"/>
          <w:szCs w:val="20"/>
        </w:rPr>
        <w:t>Szpital użytkuje dwa kontenery socjalno-medyczne o łącznej wartość 80 811 zł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 xml:space="preserve"> objęte ubezpieczeniem.</w:t>
      </w:r>
    </w:p>
    <w:p w14:paraId="0F146425" w14:textId="77777777" w:rsidR="00CC2814" w:rsidRPr="00664AE7" w:rsidRDefault="00CC2814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A4D77BC" w14:textId="77777777" w:rsidR="00EB5B3A" w:rsidRDefault="00EB5B3A" w:rsidP="009556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Czy wartość mienia zgłoszonego do ubezpieczenia od wszystkich ryzyk obejmuje wartość kolektorów słonecznych, solarów lub ogniw fotowoltaicznych? Prosimy o wyodrębnienie wartości i wskazanie, gdzie są/ będą zamontowane.</w:t>
      </w:r>
    </w:p>
    <w:p w14:paraId="18094F0B" w14:textId="77777777" w:rsidR="0095565D" w:rsidRPr="00664AE7" w:rsidRDefault="0095565D" w:rsidP="0095565D">
      <w:pPr>
        <w:pStyle w:val="Akapitzlist"/>
        <w:spacing w:after="0" w:line="240" w:lineRule="auto"/>
        <w:ind w:left="502"/>
        <w:jc w:val="both"/>
        <w:rPr>
          <w:rFonts w:ascii="Calibri" w:hAnsi="Calibri" w:cs="Calibri"/>
          <w:sz w:val="20"/>
          <w:szCs w:val="20"/>
        </w:rPr>
      </w:pPr>
    </w:p>
    <w:p w14:paraId="0A10CCB4" w14:textId="5048731C" w:rsidR="00664AE7" w:rsidRPr="00452674" w:rsidRDefault="00EB5B3A" w:rsidP="0095565D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452674">
        <w:rPr>
          <w:rFonts w:ascii="Calibri" w:hAnsi="Calibri" w:cs="Calibri"/>
          <w:b/>
          <w:bCs/>
          <w:sz w:val="20"/>
          <w:szCs w:val="20"/>
        </w:rPr>
        <w:t>Odpowiedź:</w:t>
      </w:r>
      <w:r w:rsidR="00664AE7" w:rsidRPr="00452674">
        <w:rPr>
          <w:rFonts w:ascii="Calibri" w:hAnsi="Calibri" w:cs="Calibri"/>
          <w:b/>
          <w:bCs/>
          <w:sz w:val="20"/>
          <w:szCs w:val="20"/>
          <w:lang w:eastAsia="pl-PL"/>
        </w:rPr>
        <w:t xml:space="preserve"> Zgodnie z informacją zawartą w charakterystyce Zamawiającego </w:t>
      </w:r>
      <w:r w:rsidR="002970DB">
        <w:rPr>
          <w:rFonts w:ascii="Calibri" w:hAnsi="Calibri" w:cs="Calibri"/>
          <w:b/>
          <w:bCs/>
          <w:sz w:val="20"/>
          <w:szCs w:val="20"/>
          <w:lang w:eastAsia="pl-PL"/>
        </w:rPr>
        <w:t>p</w:t>
      </w:r>
      <w:r w:rsidR="00664AE7" w:rsidRPr="00452674">
        <w:rPr>
          <w:rFonts w:ascii="Calibri" w:hAnsi="Calibri" w:cs="Calibri"/>
          <w:b/>
          <w:bCs/>
          <w:sz w:val="20"/>
          <w:szCs w:val="20"/>
          <w:lang w:eastAsia="pl-PL"/>
        </w:rPr>
        <w:t>odmiot posiada instalację solarną – 64 panele na Budynku Administracyjnym,  rok ich produkcji – 2009, sumy ubezpieczenia – instalacja nie stanowi odrębnego środka trwałego; została przyjęta w 2010 r., jako wzbogacenie środka trwałego pod nazwą „kotłownia”.</w:t>
      </w:r>
    </w:p>
    <w:p w14:paraId="48F72EDA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DCD4CF1" w14:textId="77777777" w:rsidR="00EB5B3A" w:rsidRPr="00664AE7" w:rsidRDefault="00EB5B3A" w:rsidP="009556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Czy Zamawiający wyraża zgodę na to, że zakres ubezpieczenia mienia od wszystkich ryzyk obowiązuje z zastrzeżeniem wyłączeń zawartych w ogólnych warunkach, w tym co najmniej poniższych wyłączeń:</w:t>
      </w:r>
    </w:p>
    <w:p w14:paraId="747DC0DE" w14:textId="77777777" w:rsidR="00452674" w:rsidRDefault="00452674" w:rsidP="0095565D">
      <w:pPr>
        <w:pStyle w:val="Akapitzlist"/>
        <w:spacing w:after="0" w:line="240" w:lineRule="auto"/>
        <w:ind w:left="502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45267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1) konfiskaty, zawłaszczenia, nacjonalizacji, rekwizycji, zniszczenia, które nastąpiły w następstwie wydanego przez władze aktu prawnego,</w:t>
      </w:r>
      <w:r w:rsidRPr="00452674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45267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2) stanu wojennego, stanu wyjątkowego, przewrotu, buntu, powstania, rewolucji, wojskowego zamachu stanu lub przejęcia władzy, wojny domowej, inwazji, najazdu, wrogich działań innego państwa, działań wojennych lub innych akcji mających charakter wojenny; wojny, niezależnie od tego czy wojna została wypowiedziana, czy nie; zamieszek społecznych, rozruchów, strajków, lokautów i niepokojów społecznych oraz terroryzmu i sabotażu,</w:t>
      </w:r>
      <w:r w:rsidRPr="00452674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45267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3) promieniowania jonizacyjnego lub skażenia radioaktywnego, bez względu na to, czy źródłem ich pochodzenia jest paliwo jądrowe, czy jakiekolwiek odpady promieniotwórcze powstałe w wyniku reakcji rozpadu albo syntezy jądrowej,</w:t>
      </w:r>
      <w:r w:rsidRPr="00452674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45267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4) skażenia lub zanieczyszczenia, chyba że powstały one w ubezpieczonym mieniu wskutek innego zdarzenia niewyłączonego z zakresu ubezpieczenia,</w:t>
      </w:r>
      <w:r w:rsidRPr="00452674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45267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5) zmian pola magnetycznego lub elektromagnetycznego, w tym także powstałych wskutek oddziaływania burz słonecznych lub zjawisk zachodzących na Słońcu,</w:t>
      </w:r>
      <w:r w:rsidRPr="00452674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45267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6) zapadania lub osuwania się ziemi, gdy są to szkody powstałe w wyniku działalności zakładu górniczego w rozumieniu Ustawy Prawo geologiczne i górnicze?</w:t>
      </w:r>
    </w:p>
    <w:p w14:paraId="4B68B733" w14:textId="77777777" w:rsidR="00664AE7" w:rsidRDefault="00664AE7" w:rsidP="0095565D">
      <w:pPr>
        <w:spacing w:after="0" w:line="24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 Zamawiający informuje, że zakresem ubezpieczenia nie będą objęte szkody wyłączone w OWU wybranego Wykonawcy, chyba że opisane w nich sytuacje zostały wprost włączone do zakresu ubezpieczenia zawartego w SWZ i programie ubezpieczenia.</w:t>
      </w:r>
    </w:p>
    <w:p w14:paraId="4955A41C" w14:textId="77777777" w:rsidR="00452674" w:rsidRPr="00664AE7" w:rsidRDefault="00452674" w:rsidP="0095565D">
      <w:pPr>
        <w:spacing w:after="0" w:line="24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D0167D0" w14:textId="77777777" w:rsidR="00EB5B3A" w:rsidRPr="00664AE7" w:rsidRDefault="00EB5B3A" w:rsidP="009556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Prosimy o potwierdzenie, że wszystkie limity odpowiedzialności podane w SWZ zostały ustalone na jedno i na wszystkie zdarzenia w rocznym okresie rozliczeniowym/polisowym.</w:t>
      </w:r>
    </w:p>
    <w:p w14:paraId="3A5FF174" w14:textId="6B674E1A" w:rsidR="00EB5B3A" w:rsidRPr="00664AE7" w:rsidRDefault="00EB5B3A" w:rsidP="0095565D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 Zamawiający potwierdza</w:t>
      </w:r>
    </w:p>
    <w:p w14:paraId="256B313D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C4CAEFA" w14:textId="77777777" w:rsidR="00EB5B3A" w:rsidRPr="00664AE7" w:rsidRDefault="00EB5B3A" w:rsidP="009556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Czy Zamawiający wyraża zgodę na zawężenie zakresu ochrony dla infrastruktury drogowej (mosty, chodniki, drogi, ścieżki rowerowe, parkingi, place, ulice) do ryzyk nazwanych?</w:t>
      </w:r>
    </w:p>
    <w:p w14:paraId="38A0B307" w14:textId="238E0003" w:rsidR="00EB5B3A" w:rsidRPr="00664AE7" w:rsidRDefault="00EB5B3A" w:rsidP="0095565D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 Zamawiający nie wyraża zgody</w:t>
      </w:r>
    </w:p>
    <w:p w14:paraId="44E1810A" w14:textId="77777777" w:rsidR="00EB5B3A" w:rsidRPr="00664AE7" w:rsidRDefault="00EB5B3A" w:rsidP="0095565D">
      <w:pPr>
        <w:pStyle w:val="Akapitzlist"/>
        <w:spacing w:after="0" w:line="240" w:lineRule="auto"/>
        <w:ind w:left="502"/>
        <w:jc w:val="both"/>
        <w:rPr>
          <w:rFonts w:ascii="Calibri" w:hAnsi="Calibri" w:cs="Calibri"/>
          <w:sz w:val="20"/>
          <w:szCs w:val="20"/>
        </w:rPr>
      </w:pPr>
    </w:p>
    <w:p w14:paraId="1A203CC5" w14:textId="77777777" w:rsidR="00EB5B3A" w:rsidRPr="003D08B3" w:rsidRDefault="00EB5B3A" w:rsidP="009556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08B3">
        <w:rPr>
          <w:rFonts w:ascii="Calibri" w:hAnsi="Calibri" w:cs="Calibri"/>
          <w:sz w:val="20"/>
          <w:szCs w:val="20"/>
        </w:rPr>
        <w:t>Prosimy o informacje czy poszczególne budynki zgłoszone do ubezpieczenia są wpisane do rejestru zabytków? Jeżeli tak to prosimy o wskazanie tych budynków i lokalizacji.</w:t>
      </w:r>
    </w:p>
    <w:p w14:paraId="1489CC12" w14:textId="18EF9CCB" w:rsidR="000F4E30" w:rsidRPr="003D08B3" w:rsidRDefault="00EB5B3A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3D08B3">
        <w:rPr>
          <w:rFonts w:ascii="Calibri" w:hAnsi="Calibri" w:cs="Calibri"/>
          <w:b/>
          <w:bCs/>
          <w:sz w:val="20"/>
          <w:szCs w:val="20"/>
        </w:rPr>
        <w:t>Odpowiedź:</w:t>
      </w:r>
      <w:r w:rsidR="003D08B3" w:rsidRPr="003D08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B4556" w:rsidRPr="003D08B3">
        <w:rPr>
          <w:rFonts w:ascii="Calibri" w:hAnsi="Calibri" w:cs="Calibri"/>
          <w:b/>
          <w:bCs/>
          <w:sz w:val="20"/>
          <w:szCs w:val="20"/>
        </w:rPr>
        <w:t>Nie są wpisane.</w:t>
      </w:r>
    </w:p>
    <w:p w14:paraId="61C806C4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1B865B1" w14:textId="77777777" w:rsidR="00EB5B3A" w:rsidRPr="00664AE7" w:rsidRDefault="00EB5B3A" w:rsidP="009556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Prosimy o wykreślenie poniższego zapisu dotyczącego kar umownych ze wszystkich umów:</w:t>
      </w:r>
    </w:p>
    <w:p w14:paraId="2A2224FF" w14:textId="77777777" w:rsidR="00EB5B3A" w:rsidRPr="00664AE7" w:rsidRDefault="00EB5B3A" w:rsidP="0095565D">
      <w:pPr>
        <w:pStyle w:val="Tekstpodstawowywcity"/>
        <w:spacing w:after="0" w:line="240" w:lineRule="auto"/>
        <w:ind w:left="357" w:hanging="357"/>
        <w:jc w:val="center"/>
        <w:rPr>
          <w:rFonts w:ascii="Calibri" w:hAnsi="Calibri" w:cs="Calibri"/>
          <w:b/>
          <w:sz w:val="20"/>
          <w:szCs w:val="20"/>
        </w:rPr>
      </w:pPr>
      <w:r w:rsidRPr="00664AE7">
        <w:rPr>
          <w:rFonts w:ascii="Calibri" w:hAnsi="Calibri" w:cs="Calibri"/>
          <w:b/>
          <w:sz w:val="20"/>
          <w:szCs w:val="20"/>
        </w:rPr>
        <w:t>„§ 6.</w:t>
      </w:r>
    </w:p>
    <w:p w14:paraId="7AF2217A" w14:textId="77777777" w:rsidR="00EB5B3A" w:rsidRPr="00664AE7" w:rsidRDefault="00EB5B3A" w:rsidP="0095565D">
      <w:pPr>
        <w:pStyle w:val="Tekstpodstawowywcity"/>
        <w:spacing w:after="0" w:line="240" w:lineRule="auto"/>
        <w:ind w:left="357" w:hanging="357"/>
        <w:jc w:val="center"/>
        <w:rPr>
          <w:rFonts w:ascii="Calibri" w:hAnsi="Calibri" w:cs="Calibri"/>
          <w:b/>
          <w:sz w:val="20"/>
          <w:szCs w:val="20"/>
        </w:rPr>
      </w:pPr>
      <w:r w:rsidRPr="00664AE7">
        <w:rPr>
          <w:rFonts w:ascii="Calibri" w:hAnsi="Calibri" w:cs="Calibri"/>
          <w:b/>
          <w:sz w:val="20"/>
          <w:szCs w:val="20"/>
        </w:rPr>
        <w:t>Prawo odstąpienia od Umowy</w:t>
      </w:r>
    </w:p>
    <w:p w14:paraId="35FB332B" w14:textId="77777777" w:rsidR="00EB5B3A" w:rsidRPr="00664AE7" w:rsidRDefault="00EB5B3A" w:rsidP="0095565D">
      <w:pPr>
        <w:suppressAutoHyphens/>
        <w:spacing w:after="0" w:line="240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lastRenderedPageBreak/>
        <w:t>4.(…) oraz zapłaty kary umownej w wysokości 10% składki łącznej określonej w § 4  Umowy, określonej w dniu zawarcia Umowy”.</w:t>
      </w:r>
    </w:p>
    <w:p w14:paraId="00E6B731" w14:textId="77777777" w:rsidR="00EB5B3A" w:rsidRPr="00664AE7" w:rsidRDefault="00EB5B3A" w:rsidP="0095565D">
      <w:pPr>
        <w:suppressAutoHyphens/>
        <w:spacing w:after="0" w:line="240" w:lineRule="auto"/>
        <w:ind w:left="708"/>
        <w:jc w:val="center"/>
        <w:rPr>
          <w:rFonts w:ascii="Calibri" w:hAnsi="Calibri" w:cs="Calibri"/>
          <w:sz w:val="20"/>
          <w:szCs w:val="20"/>
        </w:rPr>
      </w:pPr>
    </w:p>
    <w:p w14:paraId="2E0E799D" w14:textId="77777777" w:rsidR="00EB5B3A" w:rsidRPr="00664AE7" w:rsidRDefault="00EB5B3A" w:rsidP="0095565D">
      <w:pPr>
        <w:pStyle w:val="Tekstpodstawowywcity"/>
        <w:spacing w:after="0" w:line="240" w:lineRule="auto"/>
        <w:ind w:left="357" w:hanging="357"/>
        <w:jc w:val="center"/>
        <w:rPr>
          <w:rFonts w:ascii="Calibri" w:hAnsi="Calibri" w:cs="Calibri"/>
          <w:b/>
          <w:sz w:val="20"/>
          <w:szCs w:val="20"/>
        </w:rPr>
      </w:pPr>
      <w:r w:rsidRPr="00664AE7">
        <w:rPr>
          <w:rFonts w:ascii="Calibri" w:hAnsi="Calibri" w:cs="Calibri"/>
          <w:b/>
          <w:sz w:val="20"/>
          <w:szCs w:val="20"/>
        </w:rPr>
        <w:t>„§ 9.</w:t>
      </w:r>
    </w:p>
    <w:p w14:paraId="7C5C5952" w14:textId="77777777" w:rsidR="00EB5B3A" w:rsidRPr="00664AE7" w:rsidRDefault="00EB5B3A" w:rsidP="0095565D">
      <w:pPr>
        <w:pStyle w:val="Tekstpodstawowywcity"/>
        <w:spacing w:after="0" w:line="240" w:lineRule="auto"/>
        <w:ind w:left="357" w:hanging="357"/>
        <w:jc w:val="center"/>
        <w:rPr>
          <w:rFonts w:ascii="Calibri" w:hAnsi="Calibri" w:cs="Calibri"/>
          <w:b/>
          <w:sz w:val="20"/>
          <w:szCs w:val="20"/>
        </w:rPr>
      </w:pPr>
      <w:r w:rsidRPr="00664AE7">
        <w:rPr>
          <w:rFonts w:ascii="Calibri" w:hAnsi="Calibri" w:cs="Calibri"/>
          <w:b/>
          <w:sz w:val="20"/>
          <w:szCs w:val="20"/>
        </w:rPr>
        <w:t>Prawo odstąpienia od Umowy</w:t>
      </w:r>
    </w:p>
    <w:p w14:paraId="7DDB8999" w14:textId="77777777" w:rsidR="00EB5B3A" w:rsidRPr="00664AE7" w:rsidRDefault="00EB5B3A" w:rsidP="0095565D">
      <w:pPr>
        <w:suppressAutoHyphens/>
        <w:spacing w:after="0" w:line="240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4.(…) oraz zapłaty kary umownej w wysokości 10% składki łącznej określonej w § 4  Umowy, określonej w dniu zawarcia Umowy”.</w:t>
      </w:r>
    </w:p>
    <w:p w14:paraId="34F8D0C3" w14:textId="77777777" w:rsidR="00EB5B3A" w:rsidRPr="00664AE7" w:rsidRDefault="00EB5B3A" w:rsidP="0095565D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F46F8D" w14:textId="3D7BB950" w:rsidR="00EB5B3A" w:rsidRDefault="00EB5B3A" w:rsidP="0095565D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 Zamawiający nie wyraża zgody</w:t>
      </w:r>
    </w:p>
    <w:p w14:paraId="22EAFE2B" w14:textId="77777777" w:rsidR="00452674" w:rsidRPr="00664AE7" w:rsidRDefault="00452674" w:rsidP="0095565D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A3A9CE7" w14:textId="77777777" w:rsidR="00EB5B3A" w:rsidRPr="00664AE7" w:rsidRDefault="00EB5B3A" w:rsidP="0095565D">
      <w:pPr>
        <w:suppressAutoHyphens/>
        <w:spacing w:after="0" w:line="240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14:paraId="65A24087" w14:textId="77777777" w:rsidR="00EB5B3A" w:rsidRPr="00664AE7" w:rsidRDefault="00EB5B3A" w:rsidP="009556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64AE7">
        <w:rPr>
          <w:rFonts w:ascii="Calibri" w:hAnsi="Calibri" w:cs="Calibri"/>
          <w:color w:val="000000"/>
          <w:sz w:val="20"/>
          <w:szCs w:val="20"/>
        </w:rPr>
        <w:t xml:space="preserve">Prosimy o wykreślenie poniższego zapisu ze wszystkich umów : </w:t>
      </w:r>
    </w:p>
    <w:p w14:paraId="1C92697D" w14:textId="77777777" w:rsidR="00EB5B3A" w:rsidRPr="00664AE7" w:rsidRDefault="00EB5B3A" w:rsidP="00955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7E5B036" w14:textId="77777777" w:rsidR="00EB5B3A" w:rsidRPr="00664AE7" w:rsidRDefault="00EB5B3A" w:rsidP="0095565D">
      <w:pPr>
        <w:pStyle w:val="Tekstpodstawowywcity"/>
        <w:spacing w:after="0" w:line="240" w:lineRule="auto"/>
        <w:ind w:left="357" w:hanging="357"/>
        <w:jc w:val="center"/>
        <w:rPr>
          <w:rFonts w:ascii="Calibri" w:hAnsi="Calibri" w:cs="Calibri"/>
          <w:b/>
          <w:sz w:val="20"/>
          <w:szCs w:val="20"/>
        </w:rPr>
      </w:pPr>
      <w:r w:rsidRPr="00664AE7">
        <w:rPr>
          <w:rFonts w:ascii="Calibri" w:hAnsi="Calibri" w:cs="Calibri"/>
          <w:b/>
          <w:sz w:val="20"/>
          <w:szCs w:val="20"/>
        </w:rPr>
        <w:t>„§ 7.</w:t>
      </w:r>
    </w:p>
    <w:p w14:paraId="01A5CC41" w14:textId="77777777" w:rsidR="00EB5B3A" w:rsidRPr="00664AE7" w:rsidRDefault="00EB5B3A" w:rsidP="0095565D">
      <w:pPr>
        <w:pStyle w:val="Tekstpodstawowywcity"/>
        <w:spacing w:after="0" w:line="240" w:lineRule="auto"/>
        <w:ind w:left="357" w:hanging="357"/>
        <w:jc w:val="center"/>
        <w:rPr>
          <w:rFonts w:ascii="Calibri" w:hAnsi="Calibri" w:cs="Calibri"/>
          <w:b/>
          <w:sz w:val="20"/>
          <w:szCs w:val="20"/>
        </w:rPr>
      </w:pPr>
      <w:r w:rsidRPr="00664AE7">
        <w:rPr>
          <w:rFonts w:ascii="Calibri" w:hAnsi="Calibri" w:cs="Calibri"/>
          <w:b/>
          <w:sz w:val="20"/>
          <w:szCs w:val="20"/>
        </w:rPr>
        <w:t>Warunki zmiany Umowy</w:t>
      </w:r>
    </w:p>
    <w:p w14:paraId="2FF9E3AF" w14:textId="77777777" w:rsidR="00EB5B3A" w:rsidRPr="00664AE7" w:rsidRDefault="00EB5B3A" w:rsidP="0095565D">
      <w:pPr>
        <w:pStyle w:val="Tekstpodstawowywcity"/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 xml:space="preserve">pkt. 1. ppkt. 1.2. </w:t>
      </w:r>
    </w:p>
    <w:p w14:paraId="20A06CF8" w14:textId="77777777" w:rsidR="00EB5B3A" w:rsidRPr="00664AE7" w:rsidRDefault="00EB5B3A" w:rsidP="0095565D">
      <w:pPr>
        <w:pStyle w:val="Tekstpodstawowywcity"/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- potrzeba wydłużenia terminu realizacji umowy na wniosek Zamawiającego maksymalnie o 12 miesięcy z przyczyn technicznych lub w sytuacji braku możliwości udzielenia zamówienia na usługę ubezpieczenia, zgodnie z przepisami ustawy Pzp, przed upływem terminu realizacji zamówienia publicznego, zapewniającego Zamawiającemu ciągłość ochrony ubezpieczeniowej”</w:t>
      </w:r>
    </w:p>
    <w:p w14:paraId="45812901" w14:textId="77777777" w:rsidR="00EB5B3A" w:rsidRPr="00664AE7" w:rsidRDefault="00EB5B3A" w:rsidP="0095565D">
      <w:pPr>
        <w:pStyle w:val="Akapitzlist"/>
        <w:suppressAutoHyphens/>
        <w:spacing w:after="0" w:line="240" w:lineRule="auto"/>
        <w:ind w:left="502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 xml:space="preserve"> </w:t>
      </w:r>
      <w:r w:rsidRPr="00664AE7">
        <w:rPr>
          <w:rFonts w:ascii="Calibri" w:hAnsi="Calibri" w:cs="Calibri"/>
          <w:sz w:val="20"/>
          <w:szCs w:val="20"/>
        </w:rPr>
        <w:tab/>
      </w:r>
    </w:p>
    <w:p w14:paraId="070EED13" w14:textId="77777777" w:rsidR="00EB5B3A" w:rsidRPr="00664AE7" w:rsidRDefault="00EB5B3A" w:rsidP="0095565D">
      <w:pPr>
        <w:pStyle w:val="Tekstpodstawowywcity"/>
        <w:spacing w:after="0" w:line="240" w:lineRule="auto"/>
        <w:ind w:left="357" w:hanging="357"/>
        <w:jc w:val="center"/>
        <w:rPr>
          <w:rFonts w:ascii="Calibri" w:hAnsi="Calibri" w:cs="Calibri"/>
          <w:b/>
          <w:sz w:val="20"/>
          <w:szCs w:val="20"/>
        </w:rPr>
      </w:pPr>
      <w:r w:rsidRPr="00664AE7">
        <w:rPr>
          <w:rFonts w:ascii="Calibri" w:hAnsi="Calibri" w:cs="Calibri"/>
          <w:b/>
          <w:sz w:val="20"/>
          <w:szCs w:val="20"/>
        </w:rPr>
        <w:t>„§ 10.</w:t>
      </w:r>
    </w:p>
    <w:p w14:paraId="62A99FFB" w14:textId="77777777" w:rsidR="00EB5B3A" w:rsidRPr="00664AE7" w:rsidRDefault="00EB5B3A" w:rsidP="0095565D">
      <w:pPr>
        <w:pStyle w:val="Tekstpodstawowywcity"/>
        <w:spacing w:after="0" w:line="240" w:lineRule="auto"/>
        <w:ind w:left="357" w:hanging="357"/>
        <w:jc w:val="center"/>
        <w:rPr>
          <w:rFonts w:ascii="Calibri" w:hAnsi="Calibri" w:cs="Calibri"/>
          <w:b/>
          <w:sz w:val="20"/>
          <w:szCs w:val="20"/>
        </w:rPr>
      </w:pPr>
      <w:r w:rsidRPr="00664AE7">
        <w:rPr>
          <w:rFonts w:ascii="Calibri" w:hAnsi="Calibri" w:cs="Calibri"/>
          <w:b/>
          <w:sz w:val="20"/>
          <w:szCs w:val="20"/>
        </w:rPr>
        <w:t>Warunki zmiany Umowy</w:t>
      </w:r>
    </w:p>
    <w:p w14:paraId="50B13AE8" w14:textId="77777777" w:rsidR="00EB5B3A" w:rsidRPr="00664AE7" w:rsidRDefault="00EB5B3A" w:rsidP="0095565D">
      <w:pPr>
        <w:pStyle w:val="Tekstpodstawowywcity"/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 xml:space="preserve">pkt. 1. ppkt. 1.2. </w:t>
      </w:r>
    </w:p>
    <w:p w14:paraId="3A2DAFE5" w14:textId="77777777" w:rsidR="00EB5B3A" w:rsidRPr="00664AE7" w:rsidRDefault="00EB5B3A" w:rsidP="0095565D">
      <w:pPr>
        <w:pStyle w:val="Tekstpodstawowywcity"/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- potrzeba wydłużenia terminu realizacji umowy na wniosek Zamawiającego maksymalnie o 12 miesięcy z przyczyn technicznych lub w sytuacji braku możliwości udzielenia zamówienia na usługę ubezpieczenia, zgodnie z przepisami ustawy Pzp, przed upływem terminu realizacji zamówienia publicznego, zapewniającego Zamawiającemu ciągłość ochrony ubezpieczeniowej”</w:t>
      </w:r>
    </w:p>
    <w:p w14:paraId="478470A9" w14:textId="1E9EEBDF" w:rsidR="00EB5B3A" w:rsidRPr="00664AE7" w:rsidRDefault="00EB5B3A" w:rsidP="0095565D">
      <w:pPr>
        <w:pStyle w:val="Tekstpodstawowywcity"/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5C1C753" w14:textId="3547FBC1" w:rsidR="00EB5B3A" w:rsidRPr="00664AE7" w:rsidRDefault="00EB5B3A" w:rsidP="00131F99">
      <w:pPr>
        <w:pStyle w:val="Tekstpodstawowywcity"/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 Zamawiający wyraża zgodę</w:t>
      </w:r>
      <w:r w:rsidR="00495E7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31F99">
        <w:rPr>
          <w:rFonts w:ascii="Calibri" w:hAnsi="Calibri" w:cs="Calibri"/>
          <w:b/>
          <w:bCs/>
          <w:sz w:val="20"/>
          <w:szCs w:val="20"/>
        </w:rPr>
        <w:t xml:space="preserve">i </w:t>
      </w:r>
      <w:r w:rsidR="00131F99" w:rsidRPr="00664AE7">
        <w:rPr>
          <w:rFonts w:ascii="Calibri" w:hAnsi="Calibri" w:cs="Calibri"/>
          <w:b/>
          <w:bCs/>
          <w:sz w:val="20"/>
          <w:szCs w:val="20"/>
        </w:rPr>
        <w:t xml:space="preserve">odsyła do odpowiedzi na pytania z dnia 17.06.2024 gdzie </w:t>
      </w:r>
      <w:r w:rsidR="00131F99" w:rsidRPr="00131F99">
        <w:rPr>
          <w:rFonts w:ascii="Calibri" w:hAnsi="Calibri" w:cs="Calibri"/>
          <w:b/>
          <w:bCs/>
          <w:sz w:val="20"/>
          <w:szCs w:val="20"/>
        </w:rPr>
        <w:t>Załącznik nr 3</w:t>
      </w:r>
      <w:r w:rsidR="00131F99">
        <w:rPr>
          <w:rFonts w:ascii="Calibri" w:hAnsi="Calibri" w:cs="Calibri"/>
          <w:b/>
          <w:bCs/>
          <w:sz w:val="20"/>
          <w:szCs w:val="20"/>
        </w:rPr>
        <w:t>b</w:t>
      </w:r>
      <w:r w:rsidR="00131F99" w:rsidRPr="00131F99">
        <w:rPr>
          <w:rFonts w:ascii="Calibri" w:hAnsi="Calibri" w:cs="Calibri"/>
          <w:b/>
          <w:bCs/>
          <w:sz w:val="20"/>
          <w:szCs w:val="20"/>
        </w:rPr>
        <w:t xml:space="preserve"> do SWZ </w:t>
      </w:r>
      <w:r w:rsidR="00131F99">
        <w:rPr>
          <w:rFonts w:ascii="Calibri" w:hAnsi="Calibri" w:cs="Calibri"/>
          <w:b/>
          <w:bCs/>
          <w:sz w:val="20"/>
          <w:szCs w:val="20"/>
        </w:rPr>
        <w:t>został zmodyfikowany.</w:t>
      </w:r>
    </w:p>
    <w:p w14:paraId="76087A8A" w14:textId="77777777" w:rsidR="00EB5B3A" w:rsidRPr="00664AE7" w:rsidRDefault="00EB5B3A" w:rsidP="0095565D">
      <w:pPr>
        <w:suppressAutoHyphens/>
        <w:spacing w:after="0" w:line="240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14:paraId="3E51F399" w14:textId="77777777" w:rsidR="00EB5B3A" w:rsidRPr="00664AE7" w:rsidRDefault="00EB5B3A" w:rsidP="009556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Prosimy o dosłanie zaświadczeń szkodowych za okres 5 ostatnich lat  z których wynika, że klient był ubezpieczony w danym okresie w ryzykach zgłoszonych do ubezpieczenia.</w:t>
      </w:r>
    </w:p>
    <w:p w14:paraId="20480FAD" w14:textId="357B8DDF" w:rsidR="00EB5B3A" w:rsidRPr="00664AE7" w:rsidRDefault="00EB5B3A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 xml:space="preserve">Odpowiedź: </w:t>
      </w:r>
      <w:r w:rsidR="00452674">
        <w:rPr>
          <w:rFonts w:ascii="Calibri" w:hAnsi="Calibri" w:cs="Calibri"/>
          <w:b/>
          <w:bCs/>
          <w:sz w:val="20"/>
          <w:szCs w:val="20"/>
        </w:rPr>
        <w:t>Z</w:t>
      </w:r>
      <w:r w:rsidRPr="00664AE7">
        <w:rPr>
          <w:rFonts w:ascii="Calibri" w:hAnsi="Calibri" w:cs="Calibri"/>
          <w:b/>
          <w:bCs/>
          <w:sz w:val="20"/>
          <w:szCs w:val="20"/>
        </w:rPr>
        <w:t>amawiający odsyła do odpowiedzi na pytania z dnia 17.06.2024 gdzie zostały załączone zaświadczenia szkodowe otrzymane od zakładów ubezpieczeń w zakresie i za okres jaki są udostępniane.</w:t>
      </w:r>
    </w:p>
    <w:p w14:paraId="2A8594B4" w14:textId="77777777" w:rsidR="00EB5B3A" w:rsidRPr="00664AE7" w:rsidRDefault="00EB5B3A" w:rsidP="0095565D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1A67A62" w14:textId="05C21CF9" w:rsidR="00EB5B3A" w:rsidRPr="00664AE7" w:rsidRDefault="00EB5B3A" w:rsidP="009556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4AE7">
        <w:rPr>
          <w:rFonts w:ascii="Calibri" w:hAnsi="Calibri" w:cs="Calibri"/>
          <w:sz w:val="20"/>
          <w:szCs w:val="20"/>
        </w:rPr>
        <w:t>Prosimy o przesunięcie terminu składania ofert do dnia 19.07.2024</w:t>
      </w:r>
      <w:r w:rsidR="00AC5A14">
        <w:rPr>
          <w:rFonts w:ascii="Calibri" w:hAnsi="Calibri" w:cs="Calibri"/>
          <w:sz w:val="20"/>
          <w:szCs w:val="20"/>
        </w:rPr>
        <w:t xml:space="preserve"> </w:t>
      </w:r>
      <w:r w:rsidRPr="00664AE7">
        <w:rPr>
          <w:rFonts w:ascii="Calibri" w:hAnsi="Calibri" w:cs="Calibri"/>
          <w:sz w:val="20"/>
          <w:szCs w:val="20"/>
        </w:rPr>
        <w:t>r.</w:t>
      </w:r>
    </w:p>
    <w:p w14:paraId="71BE9ADB" w14:textId="10683B23" w:rsidR="00EB5B3A" w:rsidRDefault="00EB5B3A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664AE7">
        <w:rPr>
          <w:rFonts w:ascii="Calibri" w:hAnsi="Calibri" w:cs="Calibri"/>
          <w:b/>
          <w:bCs/>
          <w:sz w:val="20"/>
          <w:szCs w:val="20"/>
        </w:rPr>
        <w:t>Odpowiedź: Zamawiający nie wyraża zgody</w:t>
      </w:r>
    </w:p>
    <w:p w14:paraId="3AE75108" w14:textId="77777777" w:rsidR="0095565D" w:rsidRDefault="0095565D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67DB772" w14:textId="53649903" w:rsidR="009C1EB0" w:rsidRPr="003D08B3" w:rsidRDefault="009C1EB0" w:rsidP="009556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08B3">
        <w:rPr>
          <w:rFonts w:ascii="Calibri" w:hAnsi="Calibri" w:cs="Calibri"/>
          <w:sz w:val="20"/>
          <w:szCs w:val="20"/>
        </w:rPr>
        <w:t>wskazanie, w którym z budynków znajduje się mienie o największej wartości i jaka jest to wartość;</w:t>
      </w:r>
    </w:p>
    <w:p w14:paraId="5C932AFC" w14:textId="41D496C8" w:rsidR="009C1EB0" w:rsidRPr="003D08B3" w:rsidRDefault="009C1EB0" w:rsidP="003D08B3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3D08B3">
        <w:rPr>
          <w:rFonts w:ascii="Calibri" w:hAnsi="Calibri" w:cs="Calibri"/>
          <w:b/>
          <w:bCs/>
          <w:sz w:val="20"/>
          <w:szCs w:val="20"/>
        </w:rPr>
        <w:t>Odpowiedź:</w:t>
      </w:r>
      <w:r w:rsidR="003D08B3" w:rsidRPr="003D08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62B45" w:rsidRPr="003D08B3">
        <w:rPr>
          <w:rFonts w:ascii="Calibri" w:hAnsi="Calibri" w:cs="Calibri"/>
          <w:b/>
          <w:bCs/>
          <w:sz w:val="20"/>
          <w:szCs w:val="20"/>
        </w:rPr>
        <w:t xml:space="preserve">Mienie o najwyższej wartości znajduje się w budynku B w Krakowie. Jego wartość to 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 xml:space="preserve">około </w:t>
      </w:r>
      <w:r w:rsidR="00762B45" w:rsidRPr="003D08B3">
        <w:rPr>
          <w:rFonts w:ascii="Calibri" w:hAnsi="Calibri" w:cs="Calibri"/>
          <w:b/>
          <w:bCs/>
          <w:sz w:val="20"/>
          <w:szCs w:val="20"/>
        </w:rPr>
        <w:t>19 </w:t>
      </w:r>
      <w:r w:rsidR="00A94760" w:rsidRPr="003D08B3">
        <w:rPr>
          <w:rFonts w:ascii="Calibri" w:hAnsi="Calibri" w:cs="Calibri"/>
          <w:b/>
          <w:bCs/>
          <w:sz w:val="20"/>
          <w:szCs w:val="20"/>
        </w:rPr>
        <w:t>426</w:t>
      </w:r>
      <w:r w:rsidR="00762B45" w:rsidRPr="003D08B3">
        <w:rPr>
          <w:rFonts w:ascii="Calibri" w:hAnsi="Calibri" w:cs="Calibri"/>
          <w:b/>
          <w:bCs/>
          <w:sz w:val="20"/>
          <w:szCs w:val="20"/>
        </w:rPr>
        <w:t> 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>000</w:t>
      </w:r>
      <w:r w:rsidR="00762B45" w:rsidRPr="003D08B3">
        <w:rPr>
          <w:rFonts w:ascii="Calibri" w:hAnsi="Calibri" w:cs="Calibri"/>
          <w:b/>
          <w:bCs/>
          <w:sz w:val="20"/>
          <w:szCs w:val="20"/>
        </w:rPr>
        <w:t xml:space="preserve"> zł (stan na 30.04.2024</w:t>
      </w:r>
      <w:r w:rsidR="00AC5A14" w:rsidRPr="003D08B3">
        <w:rPr>
          <w:rFonts w:ascii="Calibri" w:hAnsi="Calibri" w:cs="Calibri"/>
          <w:b/>
          <w:bCs/>
          <w:sz w:val="20"/>
          <w:szCs w:val="20"/>
        </w:rPr>
        <w:t xml:space="preserve"> r. </w:t>
      </w:r>
      <w:r w:rsidR="00762B45" w:rsidRPr="003D08B3">
        <w:rPr>
          <w:rFonts w:ascii="Calibri" w:hAnsi="Calibri" w:cs="Calibri"/>
          <w:b/>
          <w:bCs/>
          <w:sz w:val="20"/>
          <w:szCs w:val="20"/>
        </w:rPr>
        <w:t xml:space="preserve">)   </w:t>
      </w:r>
    </w:p>
    <w:p w14:paraId="661C3490" w14:textId="77777777" w:rsidR="00762B45" w:rsidRPr="009C1EB0" w:rsidRDefault="00762B45" w:rsidP="0095565D">
      <w:pPr>
        <w:spacing w:after="0" w:line="240" w:lineRule="auto"/>
        <w:ind w:left="142"/>
        <w:rPr>
          <w:rFonts w:ascii="Calibri" w:hAnsi="Calibri" w:cs="Calibri"/>
          <w:b/>
          <w:bCs/>
          <w:sz w:val="20"/>
          <w:szCs w:val="20"/>
        </w:rPr>
      </w:pPr>
    </w:p>
    <w:p w14:paraId="76C78239" w14:textId="2E3541AE" w:rsidR="009C1EB0" w:rsidRPr="00D0515F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0515F">
        <w:rPr>
          <w:rFonts w:ascii="Calibri" w:hAnsi="Calibri" w:cs="Calibri"/>
          <w:sz w:val="20"/>
          <w:szCs w:val="20"/>
        </w:rPr>
        <w:t>podanie wartości najdroższej strefy pożarowej łącznie z wyposażeniem podlegającym ubezpieczeniu;</w:t>
      </w:r>
    </w:p>
    <w:p w14:paraId="2D7FB1F0" w14:textId="23F596FD" w:rsid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Odpowiedź:</w:t>
      </w:r>
      <w:r w:rsidR="00D0515F">
        <w:rPr>
          <w:rFonts w:ascii="Calibri" w:hAnsi="Calibri" w:cs="Calibri"/>
          <w:b/>
          <w:bCs/>
          <w:sz w:val="20"/>
          <w:szCs w:val="20"/>
        </w:rPr>
        <w:t xml:space="preserve"> Zamawiający odsyła do Instrukcji Bezpieczeństwa Pożarowego stanowiącej załącznik do odpowiedzi na pytania z dnia 17.06.2024 gdzie znajduje się informacja na temat stref pożarowych.</w:t>
      </w:r>
    </w:p>
    <w:p w14:paraId="3E83A9B9" w14:textId="77777777" w:rsidR="009C1EB0" w:rsidRP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0770C75" w14:textId="437A2D1C" w:rsidR="009C1EB0" w:rsidRPr="003D08B3" w:rsidRDefault="009C1EB0" w:rsidP="009556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08B3">
        <w:rPr>
          <w:rFonts w:ascii="Calibri" w:hAnsi="Calibri" w:cs="Calibri"/>
          <w:sz w:val="20"/>
          <w:szCs w:val="20"/>
        </w:rPr>
        <w:t>podanie, czy w ramach sumy ubezpieczenia środków obrotowych czy innej grupy mienia Zamawiający zgłasza do ubezpieczenia krew; jeśli tak, proszę o podanie sumy ubezpieczenia krwi;</w:t>
      </w:r>
    </w:p>
    <w:p w14:paraId="777A0AD1" w14:textId="6BEA3CA8" w:rsidR="00762B45" w:rsidRPr="003D08B3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3D08B3">
        <w:rPr>
          <w:rFonts w:ascii="Calibri" w:hAnsi="Calibri" w:cs="Calibri"/>
          <w:b/>
          <w:bCs/>
          <w:sz w:val="20"/>
          <w:szCs w:val="20"/>
        </w:rPr>
        <w:t>Odpowiedź:</w:t>
      </w:r>
      <w:r w:rsidR="003D08B3" w:rsidRPr="003D08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62B45" w:rsidRPr="003D08B3">
        <w:rPr>
          <w:rFonts w:ascii="Calibri" w:hAnsi="Calibri" w:cs="Calibri"/>
          <w:b/>
          <w:bCs/>
          <w:sz w:val="20"/>
          <w:szCs w:val="20"/>
        </w:rPr>
        <w:t>Nie zgłasza.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 xml:space="preserve"> W środkach obrotowych ujęte są </w:t>
      </w:r>
      <w:r w:rsidR="006B4F2C" w:rsidRPr="003D08B3">
        <w:rPr>
          <w:rFonts w:ascii="Calibri" w:hAnsi="Calibri" w:cs="Calibri"/>
          <w:b/>
          <w:bCs/>
          <w:sz w:val="20"/>
          <w:szCs w:val="20"/>
        </w:rPr>
        <w:t>produkty krwiopochodne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 xml:space="preserve"> o wartości około </w:t>
      </w:r>
      <w:r w:rsidR="006B4F2C" w:rsidRPr="003D08B3">
        <w:rPr>
          <w:rFonts w:ascii="Calibri" w:hAnsi="Calibri" w:cs="Calibri"/>
          <w:b/>
          <w:bCs/>
          <w:sz w:val="20"/>
          <w:szCs w:val="20"/>
        </w:rPr>
        <w:t>18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 xml:space="preserve"> tys.</w:t>
      </w:r>
      <w:r w:rsidR="006B4F2C" w:rsidRPr="003D08B3">
        <w:rPr>
          <w:rFonts w:ascii="Calibri" w:hAnsi="Calibri" w:cs="Calibri"/>
          <w:b/>
          <w:bCs/>
          <w:sz w:val="20"/>
          <w:szCs w:val="20"/>
        </w:rPr>
        <w:t xml:space="preserve"> (stan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 xml:space="preserve"> na dzień 30.04.2024</w:t>
      </w:r>
      <w:r w:rsidR="006B4F2C" w:rsidRPr="003D08B3">
        <w:rPr>
          <w:rFonts w:ascii="Calibri" w:hAnsi="Calibri" w:cs="Calibri"/>
          <w:b/>
          <w:bCs/>
          <w:sz w:val="20"/>
          <w:szCs w:val="20"/>
        </w:rPr>
        <w:t>)</w:t>
      </w:r>
    </w:p>
    <w:p w14:paraId="24E96FB2" w14:textId="77777777" w:rsidR="00D0515F" w:rsidRDefault="00D0515F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225BF2A" w14:textId="1B28AF09" w:rsidR="009C1EB0" w:rsidRPr="00D0515F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0515F">
        <w:rPr>
          <w:rFonts w:ascii="Calibri" w:hAnsi="Calibri" w:cs="Calibri"/>
          <w:sz w:val="20"/>
          <w:szCs w:val="20"/>
        </w:rPr>
        <w:t>obniżenie do 50.000 PLN limitu odpowiedzialności dla Klauzuli kosztów ewakuacji;</w:t>
      </w:r>
    </w:p>
    <w:p w14:paraId="65D75E45" w14:textId="2A9B3330" w:rsid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Odpowiedź: Zamawiający nie wyraża zgody</w:t>
      </w:r>
    </w:p>
    <w:p w14:paraId="7E055C2C" w14:textId="77777777" w:rsidR="009C1EB0" w:rsidRP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BAC84C4" w14:textId="3933893A" w:rsidR="009C1EB0" w:rsidRPr="00D0515F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0515F">
        <w:rPr>
          <w:rFonts w:ascii="Calibri" w:hAnsi="Calibri" w:cs="Calibri"/>
          <w:sz w:val="20"/>
          <w:szCs w:val="20"/>
        </w:rPr>
        <w:lastRenderedPageBreak/>
        <w:t>wprowadzenie limitu wysokości szkody do 10.000 PLN dla Klauzuli bezzwłocznej naprawy szkody lub przeniesienie klauzuli do klauzul preferowanych</w:t>
      </w:r>
    </w:p>
    <w:p w14:paraId="63F2020C" w14:textId="0674EBAB" w:rsid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Odpowiedź:</w:t>
      </w:r>
      <w:r w:rsidR="00D0515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C5A14">
        <w:rPr>
          <w:rFonts w:ascii="Calibri" w:hAnsi="Calibri" w:cs="Calibri"/>
          <w:b/>
          <w:bCs/>
          <w:sz w:val="20"/>
          <w:szCs w:val="20"/>
        </w:rPr>
        <w:t>Z</w:t>
      </w:r>
      <w:r w:rsidR="00D0515F">
        <w:rPr>
          <w:rFonts w:ascii="Calibri" w:hAnsi="Calibri" w:cs="Calibri"/>
          <w:b/>
          <w:bCs/>
          <w:sz w:val="20"/>
          <w:szCs w:val="20"/>
        </w:rPr>
        <w:t>amawiający wyraża zgodę na wprowadzenie wnioskowanego limitu.</w:t>
      </w:r>
    </w:p>
    <w:p w14:paraId="2F2DC90A" w14:textId="77777777" w:rsidR="009C1EB0" w:rsidRP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46E258C" w14:textId="34B6DA50" w:rsidR="009C1EB0" w:rsidRPr="00D0515F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0515F">
        <w:rPr>
          <w:rFonts w:ascii="Calibri" w:hAnsi="Calibri" w:cs="Calibri"/>
          <w:sz w:val="20"/>
          <w:szCs w:val="20"/>
        </w:rPr>
        <w:t>Wprowadzenie limitu dla klauzuli 7. Klauzula ubezpieczenia mienia podczas transportu</w:t>
      </w:r>
    </w:p>
    <w:p w14:paraId="5E002F5B" w14:textId="73ED0F63" w:rsid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Odpowiedź: Zamawiający odsyła do odpowiedzi na pytania z dnia 17.06.2024 gdzie limit został wprowadzony.</w:t>
      </w:r>
    </w:p>
    <w:p w14:paraId="50AC026B" w14:textId="77777777" w:rsidR="009C1EB0" w:rsidRP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64AAC72" w14:textId="5FDDFFBF" w:rsidR="009C1EB0" w:rsidRPr="00D0515F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0515F">
        <w:rPr>
          <w:rFonts w:ascii="Calibri" w:hAnsi="Calibri" w:cs="Calibri"/>
          <w:sz w:val="20"/>
          <w:szCs w:val="20"/>
        </w:rPr>
        <w:t>jednoznaczne określenie wysokość sumy ubezpieczenia w klauzuli 39 - dodatkowej prewencyjnej sumy ubezpieczenia;</w:t>
      </w:r>
    </w:p>
    <w:p w14:paraId="120A14A9" w14:textId="1EAF9D07" w:rsid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Odpowiedź: Zamawiający określa limit odpowiedzialności w klauzuli dodatkowej prewencyjnej sumy ubezpieczenia w wysokości 200 000,00 zł na jedno i wszystkie zdarzenia w rocznym okresie ubezpieczenia.</w:t>
      </w:r>
    </w:p>
    <w:p w14:paraId="47191A46" w14:textId="77777777" w:rsid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C6609D" w14:textId="23BB9548" w:rsidR="009C1EB0" w:rsidRPr="00D0515F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0515F">
        <w:rPr>
          <w:rFonts w:ascii="Calibri" w:hAnsi="Calibri" w:cs="Calibri"/>
          <w:sz w:val="20"/>
          <w:szCs w:val="20"/>
        </w:rPr>
        <w:t>przeniesienie klauzuli 42 Klauzula przeoczenia do katalogu klauzul fakultatywnych;</w:t>
      </w:r>
    </w:p>
    <w:p w14:paraId="2D3D4CE4" w14:textId="2D90C335" w:rsid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Odpowiedź: </w:t>
      </w:r>
      <w:r w:rsidRPr="0074141E">
        <w:rPr>
          <w:rFonts w:ascii="Calibri" w:hAnsi="Calibri" w:cs="Calibri"/>
          <w:b/>
          <w:bCs/>
          <w:sz w:val="20"/>
          <w:szCs w:val="20"/>
        </w:rPr>
        <w:t>Zamawiający</w:t>
      </w:r>
      <w:r>
        <w:rPr>
          <w:rFonts w:ascii="Calibri" w:hAnsi="Calibri" w:cs="Calibri"/>
          <w:b/>
          <w:bCs/>
          <w:sz w:val="20"/>
          <w:szCs w:val="20"/>
        </w:rPr>
        <w:t xml:space="preserve"> odsyła do odpowiedzi na pytania z dnia 17.06.2024, gdzie przeniósł </w:t>
      </w:r>
      <w:r w:rsidRPr="0074141E">
        <w:rPr>
          <w:rFonts w:ascii="Calibri" w:hAnsi="Calibri" w:cs="Calibri"/>
          <w:b/>
          <w:bCs/>
          <w:sz w:val="20"/>
          <w:szCs w:val="20"/>
        </w:rPr>
        <w:t>klauzulę do klauzul fakultatywnych</w:t>
      </w:r>
      <w:r w:rsidRPr="0074141E">
        <w:rPr>
          <w:rFonts w:ascii="Calibri" w:hAnsi="Calibri" w:cs="Calibri"/>
          <w:sz w:val="20"/>
          <w:szCs w:val="20"/>
        </w:rPr>
        <w:t>.</w:t>
      </w:r>
    </w:p>
    <w:p w14:paraId="5A4F7EBA" w14:textId="77777777" w:rsidR="009C1EB0" w:rsidRP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F3E036F" w14:textId="747BAA4F" w:rsidR="009C1EB0" w:rsidRPr="003D08B3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3D08B3">
        <w:rPr>
          <w:rFonts w:ascii="Calibri" w:hAnsi="Calibri" w:cs="Calibri"/>
          <w:sz w:val="20"/>
          <w:szCs w:val="20"/>
        </w:rPr>
        <w:t>podanie informacji o ilości klatek schodowych w budynku „B” w lokalizacji Kraków, Kronikarza Galla 25 Kraków</w:t>
      </w:r>
    </w:p>
    <w:p w14:paraId="577157E2" w14:textId="0DC09C9A" w:rsidR="00854D2C" w:rsidRPr="003D08B3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3D08B3">
        <w:rPr>
          <w:rFonts w:ascii="Calibri" w:hAnsi="Calibri" w:cs="Calibri"/>
          <w:b/>
          <w:bCs/>
          <w:sz w:val="20"/>
          <w:szCs w:val="20"/>
        </w:rPr>
        <w:t>Odpowiedź:</w:t>
      </w:r>
      <w:r w:rsidR="003D08B3" w:rsidRPr="003D08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95345" w:rsidRPr="003D08B3">
        <w:rPr>
          <w:rFonts w:ascii="Calibri" w:hAnsi="Calibri" w:cs="Calibri"/>
          <w:b/>
          <w:bCs/>
          <w:sz w:val="20"/>
          <w:szCs w:val="20"/>
        </w:rPr>
        <w:t>K</w:t>
      </w:r>
      <w:r w:rsidR="00854D2C" w:rsidRPr="003D08B3">
        <w:rPr>
          <w:rFonts w:ascii="Calibri" w:hAnsi="Calibri" w:cs="Calibri"/>
          <w:b/>
          <w:bCs/>
          <w:sz w:val="20"/>
          <w:szCs w:val="20"/>
        </w:rPr>
        <w:t>latki są cztery, ale tylko dwie są ogólnodostępne.</w:t>
      </w:r>
    </w:p>
    <w:p w14:paraId="747CAB09" w14:textId="77777777" w:rsidR="009C1EB0" w:rsidRPr="003D08B3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9169F14" w14:textId="0E665B2C" w:rsidR="009C1EB0" w:rsidRPr="003D08B3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3D08B3">
        <w:rPr>
          <w:rFonts w:ascii="Calibri" w:hAnsi="Calibri" w:cs="Calibri"/>
          <w:sz w:val="20"/>
          <w:szCs w:val="20"/>
        </w:rPr>
        <w:t>podanie informacji, których budynków będą dotyczyły planowane inwestycje</w:t>
      </w:r>
    </w:p>
    <w:p w14:paraId="74A8D9B7" w14:textId="76A7FC52" w:rsidR="00DA5646" w:rsidRPr="003D08B3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3D08B3">
        <w:rPr>
          <w:rFonts w:ascii="Calibri" w:hAnsi="Calibri" w:cs="Calibri"/>
          <w:b/>
          <w:bCs/>
          <w:sz w:val="20"/>
          <w:szCs w:val="20"/>
        </w:rPr>
        <w:t>Odpowiedź:</w:t>
      </w:r>
      <w:r w:rsidR="00D0515F" w:rsidRPr="003D08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>Rozbudowa budynku A w Krakowie oraz przewiązki.</w:t>
      </w:r>
      <w:r w:rsidR="003D08B3" w:rsidRPr="003D08B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A5646" w:rsidRPr="003D08B3">
        <w:rPr>
          <w:rFonts w:ascii="Calibri" w:hAnsi="Calibri" w:cs="Calibri"/>
          <w:b/>
          <w:bCs/>
          <w:sz w:val="20"/>
          <w:szCs w:val="20"/>
        </w:rPr>
        <w:t>Przebudowa pomieszczeń Budynku B.</w:t>
      </w:r>
    </w:p>
    <w:p w14:paraId="20F80281" w14:textId="77777777" w:rsidR="009C1EB0" w:rsidRP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DB064C3" w14:textId="6B0279C4" w:rsidR="009C1EB0" w:rsidRPr="00335C3E" w:rsidRDefault="009C1EB0" w:rsidP="0095565D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335C3E">
        <w:rPr>
          <w:rFonts w:ascii="Calibri" w:hAnsi="Calibri" w:cs="Calibri"/>
          <w:sz w:val="20"/>
          <w:szCs w:val="20"/>
        </w:rPr>
        <w:t>zastąpienie Klauzuli ubezpieczenia lamp od wszystkich ryzyk oraz pośrednich nośników obrazu klauzulą w brzmieniu:</w:t>
      </w:r>
    </w:p>
    <w:p w14:paraId="0A27F100" w14:textId="77777777" w:rsidR="00335C3E" w:rsidRPr="00335C3E" w:rsidRDefault="00335C3E" w:rsidP="00335C3E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</w:p>
    <w:p w14:paraId="4C033DB5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Odpowiedzialność z tytułu niniejszej klauzuli ograniczona jest do limitu odpowiedzialności w wysokości 100 000 zł  </w:t>
      </w:r>
    </w:p>
    <w:p w14:paraId="3363175B" w14:textId="77777777" w:rsidR="00335C3E" w:rsidRPr="00335C3E" w:rsidRDefault="00335C3E" w:rsidP="00335C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>szkody powstałe z innych przyczyn niż ognia, zalania lub kradzieży z włamaniem i rabunku będą wypłacone według wartości rzeczywistej – po potrąceniu zużycia urządzenia zgodnie z poniższą tabelą deprecjacji:</w:t>
      </w:r>
    </w:p>
    <w:p w14:paraId="7B83C649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95AE29F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1699"/>
        <w:gridCol w:w="1700"/>
      </w:tblGrid>
      <w:tr w:rsidR="00335C3E" w:rsidRPr="00335C3E" w14:paraId="5B35D1CC" w14:textId="77777777" w:rsidTr="00335C3E">
        <w:trPr>
          <w:trHeight w:val="219"/>
        </w:trPr>
        <w:tc>
          <w:tcPr>
            <w:tcW w:w="339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EB4AA3A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OPIS LAMPY </w:t>
            </w:r>
          </w:p>
        </w:tc>
        <w:tc>
          <w:tcPr>
            <w:tcW w:w="679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F3634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Redukcja odszkodowania </w:t>
            </w:r>
          </w:p>
        </w:tc>
      </w:tr>
      <w:tr w:rsidR="00335C3E" w:rsidRPr="00335C3E" w14:paraId="717168AD" w14:textId="77777777" w:rsidTr="00335C3E">
        <w:trPr>
          <w:gridAfter w:val="1"/>
          <w:wAfter w:w="1700" w:type="dxa"/>
          <w:trHeight w:val="593"/>
        </w:trPr>
        <w:tc>
          <w:tcPr>
            <w:tcW w:w="33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E61F1" w14:textId="77777777" w:rsidR="00335C3E" w:rsidRPr="00335C3E" w:rsidRDefault="00335C3E" w:rsidP="00335C3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0246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po okresie użytkowania 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426D8C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                 miesięcznie o </w:t>
            </w:r>
          </w:p>
        </w:tc>
      </w:tr>
      <w:tr w:rsidR="00335C3E" w:rsidRPr="00335C3E" w14:paraId="65EF65B2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26C9A65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001ED2" w14:textId="77777777" w:rsidR="00335C3E" w:rsidRPr="00335C3E" w:rsidRDefault="00335C3E" w:rsidP="00335C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rentgenowskie/lampy zaworowe (w sprzęcie niemedycznym) </w:t>
            </w:r>
          </w:p>
          <w:p w14:paraId="1CAB1A62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FEF00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20C531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6 miesięcy 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9BBB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E46B26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5,5% </w:t>
            </w:r>
          </w:p>
        </w:tc>
      </w:tr>
    </w:tbl>
    <w:p w14:paraId="2C1D5626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C7ECCA3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W w:w="102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99"/>
        <w:gridCol w:w="3400"/>
        <w:gridCol w:w="3401"/>
      </w:tblGrid>
      <w:tr w:rsidR="00335C3E" w:rsidRPr="00335C3E" w14:paraId="2BC6CBF3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D8B71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laserowe (sprzęt niemedyczny)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B3C34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6 miesięcy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15BAD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5,5% </w:t>
            </w:r>
          </w:p>
        </w:tc>
      </w:tr>
      <w:tr w:rsidR="00335C3E" w:rsidRPr="00335C3E" w14:paraId="0DF5356B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048AE36D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5F437E46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B502DA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5C3E" w:rsidRPr="00335C3E" w14:paraId="7566F664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F0F1C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elektronopromieniowe (CRT) w fotoskładarkach (przy pracy na 2 zmiany)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3525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12 miesięcy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34D7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3,0% </w:t>
            </w:r>
          </w:p>
        </w:tc>
      </w:tr>
      <w:tr w:rsidR="00335C3E" w:rsidRPr="00335C3E" w14:paraId="04A1E448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0A0755D0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73CD39" w14:textId="77777777" w:rsidR="00335C3E" w:rsidRPr="00335C3E" w:rsidRDefault="00335C3E" w:rsidP="00335C3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rentgenowskie z obrotową anodą (sprzęt elektroniczny medyczny) w szpitalach, gabinetach lub oddziałach radiologicznych, tomografia komputerowa </w:t>
            </w:r>
          </w:p>
          <w:p w14:paraId="3394FA8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C837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92CEF7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12 miesięcy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BEC2DC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A615D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3,0% </w:t>
            </w:r>
          </w:p>
        </w:tc>
      </w:tr>
      <w:tr w:rsidR="00335C3E" w:rsidRPr="00335C3E" w14:paraId="190A00EE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F5095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laserowe (sprzęt elektroniczny medyczny)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34756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12 miesięcy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47499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3,0% </w:t>
            </w:r>
          </w:p>
        </w:tc>
      </w:tr>
      <w:tr w:rsidR="00335C3E" w:rsidRPr="00335C3E" w14:paraId="40F768C6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25ACA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Lampy elektronopromieniowe (CRT) w fotoskładarkach (przy pracy na 1 zmianę)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1D74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12 miesięcy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D1EE7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3,0% </w:t>
            </w:r>
          </w:p>
        </w:tc>
      </w:tr>
      <w:tr w:rsidR="00335C3E" w:rsidRPr="00335C3E" w14:paraId="489C9353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B3A23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Termokatodowe lampy elektronowe gazowane (sprzęt elektroniczny medyczny)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23220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12 miesięcy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9AE33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3,0% </w:t>
            </w:r>
          </w:p>
        </w:tc>
      </w:tr>
      <w:tr w:rsidR="00335C3E" w:rsidRPr="00335C3E" w14:paraId="14825FCA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CA4D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analizujące (sprzęt niemedyczny)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D26E5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12 miesięcy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A0805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3,0% </w:t>
            </w:r>
          </w:p>
        </w:tc>
      </w:tr>
      <w:tr w:rsidR="00335C3E" w:rsidRPr="00335C3E" w14:paraId="760E7E11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19628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obrazowe wysokiej rozdzielczości (sprzęt niemedyczny)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A6B34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18 miesięcy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F683C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2,5% </w:t>
            </w:r>
          </w:p>
        </w:tc>
      </w:tr>
      <w:tr w:rsidR="00335C3E" w:rsidRPr="00335C3E" w14:paraId="52A20940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25073BD4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8EEBFD" w14:textId="77777777" w:rsidR="00335C3E" w:rsidRPr="00335C3E" w:rsidRDefault="00335C3E" w:rsidP="00335C3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rentgenowskie z obrotową anodą (sprzęt elektroniczny medyczny) do radiologii częściowej, tomografia komputerowa </w:t>
            </w:r>
          </w:p>
          <w:p w14:paraId="030016B1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3573263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8EFD3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1958FB6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B6F356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2,0% </w:t>
            </w:r>
          </w:p>
        </w:tc>
      </w:tr>
      <w:tr w:rsidR="00335C3E" w:rsidRPr="00335C3E" w14:paraId="14B8234F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9C261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z anodą pionową (sprzęt elektroniczny medyczny)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2CCD2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85600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2,0% </w:t>
            </w:r>
          </w:p>
        </w:tc>
      </w:tr>
      <w:tr w:rsidR="00335C3E" w:rsidRPr="00335C3E" w14:paraId="153F0BE1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772F47F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6BE9C140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1A79656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5C3E" w:rsidRPr="00335C3E" w14:paraId="1E3F798F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77C7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pamięciowe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AE5B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CA76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2,0% </w:t>
            </w:r>
          </w:p>
        </w:tc>
      </w:tr>
      <w:tr w:rsidR="00335C3E" w:rsidRPr="00335C3E" w14:paraId="0EF8EC07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04271395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6A26EA2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1F2E99C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5C3E" w:rsidRPr="00335C3E" w14:paraId="4EDB5C6A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380D0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fotopowielające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9537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616F3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2,0% </w:t>
            </w:r>
          </w:p>
        </w:tc>
      </w:tr>
      <w:tr w:rsidR="00335C3E" w:rsidRPr="00335C3E" w14:paraId="78CF461C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50753D53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3CBE8BC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505C123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5C3E" w:rsidRPr="00335C3E" w14:paraId="11306435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42C19DAD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CAD948" w14:textId="77777777" w:rsidR="00335C3E" w:rsidRPr="00335C3E" w:rsidRDefault="00335C3E" w:rsidP="00335C3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zaworowe (sprzęt elektroniczny medyczny) </w:t>
            </w:r>
          </w:p>
          <w:p w14:paraId="38FE540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0FEB8012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9CE3F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5E35C9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64EEF7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1,5% </w:t>
            </w:r>
          </w:p>
        </w:tc>
      </w:tr>
      <w:tr w:rsidR="00335C3E" w:rsidRPr="00335C3E" w14:paraId="45230ACF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0FD01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zdalnie wyłączane/lampy płaskie w tomografii komputerowej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6C83C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C7A78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1,5% </w:t>
            </w:r>
          </w:p>
        </w:tc>
      </w:tr>
      <w:tr w:rsidR="00335C3E" w:rsidRPr="00335C3E" w14:paraId="1EBA868A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29066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Rentgenowskie lampy powiększające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A8ACC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B83C1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1,5% </w:t>
            </w:r>
          </w:p>
        </w:tc>
      </w:tr>
      <w:tr w:rsidR="00335C3E" w:rsidRPr="00335C3E" w14:paraId="0FB1A7D8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74C826A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3D80FD83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88A60D6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5C3E" w:rsidRPr="00335C3E" w14:paraId="54D32B55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0C27E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analizujące/lampy reprodukcyjne (sprzęt elektroniczny medyczny)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21804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02CCB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1,5% </w:t>
            </w:r>
          </w:p>
        </w:tc>
      </w:tr>
      <w:tr w:rsidR="00335C3E" w:rsidRPr="00335C3E" w14:paraId="3D565791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44322F93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5457F01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CA3A74F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35C3E" w:rsidRPr="00335C3E" w14:paraId="399CF9CE" w14:textId="77777777" w:rsidTr="00335C3E">
        <w:trPr>
          <w:trHeight w:val="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A35A9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Lampy z akceleracją liniową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96205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24 miesięce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23A8D" w14:textId="77777777" w:rsidR="00335C3E" w:rsidRPr="00335C3E" w:rsidRDefault="00335C3E" w:rsidP="0033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35C3E">
              <w:rPr>
                <w:rFonts w:ascii="Calibri" w:eastAsia="Calibri" w:hAnsi="Calibri" w:cs="Calibri"/>
                <w:sz w:val="20"/>
                <w:szCs w:val="20"/>
              </w:rPr>
              <w:t xml:space="preserve">1,5% </w:t>
            </w:r>
          </w:p>
        </w:tc>
      </w:tr>
    </w:tbl>
    <w:p w14:paraId="562831B8" w14:textId="77777777" w:rsidR="00335C3E" w:rsidRPr="00335C3E" w:rsidRDefault="00335C3E" w:rsidP="00335C3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F085089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2. Okres eksploatacji rozpoczyna się z chwilą pierwszego uruchomienia aparatu i obejmuje okresy eksploatacji u poprzednich właścicieli. </w:t>
      </w:r>
    </w:p>
    <w:p w14:paraId="5D0678CD" w14:textId="77777777" w:rsidR="00335C3E" w:rsidRPr="00335C3E" w:rsidRDefault="00335C3E" w:rsidP="00335C3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przypadku lamp rentgenowskich z obrotową anodą, zdalnie wyłączanych i lamp płaskich w tomografii komputerowej, kwota odszkodowania ulega zmniejszeniu o stawkę procentową obliczoną na podstawie następującego wzoru: </w:t>
      </w:r>
    </w:p>
    <w:p w14:paraId="5C5532ED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B8FA1DD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P x 100 . </w:t>
      </w:r>
    </w:p>
    <w:p w14:paraId="6041671C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PG x X x Y </w:t>
      </w:r>
    </w:p>
    <w:p w14:paraId="481D967B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gdzie: </w:t>
      </w:r>
    </w:p>
    <w:p w14:paraId="3222C972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 - liczba operacji skanowania, godzin lub miesięcy eksploatacji realizowanej z użyciem danej lampy (włącznie z okresem użytkowania przez poprzedniego właściciela) przed wystąpieniem szkody, zależnie od tego, na której z powyższych metod obliczania zużycia oparte są warunki gwarancji producenta, </w:t>
      </w:r>
    </w:p>
    <w:p w14:paraId="7B96EF4E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PG - standardowy okres gwarancji udzielanej przez producenta na lampy, określony w liczbie skanowań, godzinach lub miesiącach eksploatacji, </w:t>
      </w:r>
    </w:p>
    <w:p w14:paraId="68677BD2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X - współczynnik zależny od wieku lamp oraz udzielonej gwarancji przez producenta dla lamp danego rodzaju: </w:t>
      </w:r>
    </w:p>
    <w:p w14:paraId="65060420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1) nowo zakupione lampy na gwarancji producenta, współczynnik 1, </w:t>
      </w:r>
    </w:p>
    <w:p w14:paraId="32D91B7D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2) lampy na gwarancji producenta, lecz dla których pozostało nie więcej niż 6 miesięcy do zakończenia okresu gwarancyjnego, współczynnik 0,75, </w:t>
      </w:r>
    </w:p>
    <w:p w14:paraId="4E005869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3) lampy nieposiadające gwarancji producenta, współczynnik 0,3, </w:t>
      </w:r>
    </w:p>
    <w:p w14:paraId="7E4C915A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A712866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 xml:space="preserve">Y = współczynnik likwidacyjny, </w:t>
      </w:r>
    </w:p>
    <w:p w14:paraId="4227B0E3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1) lampy rentgenowskie, współczynnik 2, </w:t>
      </w:r>
    </w:p>
    <w:p w14:paraId="07B9DA85" w14:textId="77777777" w:rsidR="00335C3E" w:rsidRPr="00335C3E" w:rsidRDefault="00335C3E" w:rsidP="00335C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35C3E">
        <w:rPr>
          <w:rFonts w:ascii="Calibri" w:eastAsia="Calibri" w:hAnsi="Calibri" w:cs="Calibri"/>
          <w:kern w:val="0"/>
          <w:sz w:val="20"/>
          <w:szCs w:val="20"/>
          <w14:ligatures w14:val="none"/>
        </w:rPr>
        <w:t>2) lampy zdalnie wyłączane/lampy płaskie współczynnik 3.</w:t>
      </w:r>
    </w:p>
    <w:p w14:paraId="1E5B26C5" w14:textId="77777777" w:rsidR="0095565D" w:rsidRPr="00335C3E" w:rsidRDefault="0095565D" w:rsidP="0095565D">
      <w:pPr>
        <w:pStyle w:val="Akapitzlist"/>
        <w:spacing w:after="0" w:line="240" w:lineRule="auto"/>
        <w:ind w:left="502"/>
        <w:rPr>
          <w:rFonts w:ascii="Calibri" w:hAnsi="Calibri" w:cs="Calibri"/>
          <w:b/>
          <w:bCs/>
          <w:sz w:val="20"/>
          <w:szCs w:val="20"/>
        </w:rPr>
      </w:pPr>
    </w:p>
    <w:p w14:paraId="10042D17" w14:textId="56503152" w:rsidR="009C1EB0" w:rsidRDefault="009C1EB0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  <w:r w:rsidRPr="00335C3E">
        <w:rPr>
          <w:rFonts w:ascii="Calibri" w:hAnsi="Calibri" w:cs="Calibri"/>
          <w:b/>
          <w:bCs/>
          <w:sz w:val="20"/>
          <w:szCs w:val="20"/>
        </w:rPr>
        <w:t>Odpowiedź: Zamawiający odsyła do odpowiedzi na pytania z dnia 17.06.2024 gdzie klauzula została zmodyfikowana.</w:t>
      </w:r>
    </w:p>
    <w:p w14:paraId="1AC1E928" w14:textId="77777777" w:rsidR="003D08B3" w:rsidRDefault="003D08B3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DD80194" w14:textId="77777777" w:rsidR="003D08B3" w:rsidRPr="00D01520" w:rsidRDefault="003D08B3" w:rsidP="003D08B3">
      <w:pPr>
        <w:spacing w:after="0" w:line="260" w:lineRule="exact"/>
        <w:jc w:val="both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D01520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Zmianie ulega:</w:t>
      </w:r>
    </w:p>
    <w:p w14:paraId="23747569" w14:textId="77777777" w:rsidR="003D08B3" w:rsidRPr="00D01520" w:rsidRDefault="003D08B3" w:rsidP="003D08B3">
      <w:pPr>
        <w:spacing w:after="0" w:line="260" w:lineRule="exact"/>
        <w:jc w:val="both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D01520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Załącznik nr 2 Opis przedmiotu zamówienia</w:t>
      </w:r>
    </w:p>
    <w:p w14:paraId="45C914D0" w14:textId="4693AA44" w:rsidR="003D08B3" w:rsidRPr="00D01520" w:rsidRDefault="003D08B3" w:rsidP="003D08B3">
      <w:pPr>
        <w:spacing w:after="0" w:line="260" w:lineRule="exact"/>
        <w:jc w:val="both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D01520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Załącznik nr 3</w:t>
      </w:r>
      <w:r w:rsidR="00360FFB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a</w:t>
      </w:r>
      <w:r w:rsidRPr="00D01520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 xml:space="preserve"> do SWZ Wzór umowy dla Części </w:t>
      </w:r>
      <w:r w:rsidR="00360FFB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1</w:t>
      </w:r>
    </w:p>
    <w:p w14:paraId="2AB9A5E8" w14:textId="77777777" w:rsidR="003D08B3" w:rsidRPr="003D08B3" w:rsidRDefault="003D08B3" w:rsidP="003D08B3">
      <w:pPr>
        <w:spacing w:after="0" w:line="260" w:lineRule="exact"/>
        <w:jc w:val="both"/>
        <w:rPr>
          <w:rFonts w:ascii="Arial" w:eastAsia="Calibri" w:hAnsi="Arial" w:cs="Arial"/>
          <w:color w:val="1E1E1E"/>
          <w:spacing w:val="4"/>
          <w:kern w:val="0"/>
          <w:sz w:val="20"/>
          <w:szCs w:val="20"/>
          <w:highlight w:val="yellow"/>
          <w14:ligatures w14:val="none"/>
        </w:rPr>
      </w:pPr>
    </w:p>
    <w:p w14:paraId="2F1E78A5" w14:textId="77777777" w:rsidR="003D08B3" w:rsidRPr="003D08B3" w:rsidRDefault="003D08B3" w:rsidP="003D08B3">
      <w:pPr>
        <w:spacing w:after="0" w:line="260" w:lineRule="exact"/>
        <w:jc w:val="both"/>
        <w:rPr>
          <w:rFonts w:ascii="Arial" w:eastAsia="Calibri" w:hAnsi="Arial" w:cs="Arial"/>
          <w:color w:val="1E1E1E"/>
          <w:spacing w:val="4"/>
          <w:kern w:val="0"/>
          <w:sz w:val="20"/>
          <w:szCs w:val="20"/>
          <w:highlight w:val="yellow"/>
          <w14:ligatures w14:val="none"/>
        </w:rPr>
      </w:pPr>
    </w:p>
    <w:p w14:paraId="3F0710BB" w14:textId="77777777" w:rsidR="003D08B3" w:rsidRPr="003D08B3" w:rsidRDefault="003D08B3" w:rsidP="003D08B3">
      <w:pPr>
        <w:spacing w:after="0" w:line="260" w:lineRule="exact"/>
        <w:ind w:left="4956" w:firstLine="708"/>
        <w:jc w:val="both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3D08B3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Konsorcjum Spółek:</w:t>
      </w:r>
    </w:p>
    <w:p w14:paraId="0D19B805" w14:textId="77777777" w:rsidR="003D08B3" w:rsidRPr="003D08B3" w:rsidRDefault="003D08B3" w:rsidP="003D08B3">
      <w:pPr>
        <w:spacing w:after="0" w:line="260" w:lineRule="exact"/>
        <w:ind w:left="4956" w:firstLine="708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3D08B3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 xml:space="preserve">TAMAL Sp. z o.o. </w:t>
      </w:r>
    </w:p>
    <w:p w14:paraId="2EB54261" w14:textId="77777777" w:rsidR="003D08B3" w:rsidRPr="003D08B3" w:rsidRDefault="003D08B3" w:rsidP="003D08B3">
      <w:pPr>
        <w:spacing w:after="0" w:line="260" w:lineRule="exact"/>
        <w:ind w:left="4956" w:firstLine="708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3D08B3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ul. Stefana Jaracza 6 lok. 4</w:t>
      </w:r>
    </w:p>
    <w:p w14:paraId="7AC03D4E" w14:textId="77777777" w:rsidR="003D08B3" w:rsidRPr="003D08B3" w:rsidRDefault="003D08B3" w:rsidP="003D08B3">
      <w:pPr>
        <w:spacing w:after="0" w:line="260" w:lineRule="exact"/>
        <w:ind w:left="4956" w:firstLine="708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3D08B3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00 - 378 Warszawa</w:t>
      </w:r>
    </w:p>
    <w:p w14:paraId="3BFCD0C6" w14:textId="77777777" w:rsidR="003D08B3" w:rsidRPr="003D08B3" w:rsidRDefault="003D08B3" w:rsidP="003D08B3">
      <w:pPr>
        <w:spacing w:after="0" w:line="260" w:lineRule="exact"/>
        <w:ind w:left="6372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3D08B3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i</w:t>
      </w:r>
    </w:p>
    <w:p w14:paraId="6CE20415" w14:textId="77777777" w:rsidR="003D08B3" w:rsidRPr="003D08B3" w:rsidRDefault="003D08B3" w:rsidP="003D08B3">
      <w:pPr>
        <w:spacing w:after="0" w:line="260" w:lineRule="exact"/>
        <w:ind w:left="5664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3D08B3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 xml:space="preserve">„MERYDIAN” Brokerski Dom Ubezpieczeniowy S.A. </w:t>
      </w:r>
    </w:p>
    <w:p w14:paraId="35C396C3" w14:textId="77777777" w:rsidR="003D08B3" w:rsidRPr="003D08B3" w:rsidRDefault="003D08B3" w:rsidP="003D08B3">
      <w:pPr>
        <w:spacing w:after="0" w:line="260" w:lineRule="exact"/>
        <w:ind w:left="5664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3D08B3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ul. Piotrkowska 233</w:t>
      </w:r>
    </w:p>
    <w:p w14:paraId="2B7B7781" w14:textId="77777777" w:rsidR="003D08B3" w:rsidRPr="003D08B3" w:rsidRDefault="003D08B3" w:rsidP="003D08B3">
      <w:pPr>
        <w:spacing w:after="0" w:line="260" w:lineRule="exact"/>
        <w:ind w:left="5664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  <w:r w:rsidRPr="003D08B3"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  <w:t>90-456 Łódź</w:t>
      </w:r>
    </w:p>
    <w:p w14:paraId="3AA46056" w14:textId="77777777" w:rsidR="003D08B3" w:rsidRPr="003D08B3" w:rsidRDefault="003D08B3" w:rsidP="003D08B3">
      <w:pPr>
        <w:spacing w:after="0" w:line="260" w:lineRule="exact"/>
        <w:ind w:left="6372"/>
        <w:jc w:val="both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</w:p>
    <w:p w14:paraId="4F10A03A" w14:textId="77777777" w:rsidR="003D08B3" w:rsidRPr="003D08B3" w:rsidRDefault="003D08B3" w:rsidP="003D08B3">
      <w:pPr>
        <w:spacing w:after="0" w:line="260" w:lineRule="exact"/>
        <w:rPr>
          <w:rFonts w:ascii="Arial" w:eastAsia="Calibri" w:hAnsi="Arial" w:cs="Arial"/>
          <w:color w:val="1E1E1E"/>
          <w:spacing w:val="4"/>
          <w:kern w:val="0"/>
          <w:sz w:val="20"/>
          <w:szCs w:val="20"/>
          <w14:ligatures w14:val="none"/>
        </w:rPr>
      </w:pPr>
    </w:p>
    <w:p w14:paraId="355BE695" w14:textId="77777777" w:rsidR="003D08B3" w:rsidRPr="00335C3E" w:rsidRDefault="003D08B3" w:rsidP="0095565D">
      <w:pPr>
        <w:spacing w:after="0" w:line="240" w:lineRule="auto"/>
        <w:ind w:left="14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B145202" w14:textId="77777777" w:rsidR="00EB5B3A" w:rsidRPr="0095565D" w:rsidRDefault="00EB5B3A" w:rsidP="0095565D">
      <w:pPr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</w:p>
    <w:sectPr w:rsidR="00EB5B3A" w:rsidRPr="0095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948BB8"/>
    <w:multiLevelType w:val="hybridMultilevel"/>
    <w:tmpl w:val="CA5C510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C82C5557"/>
    <w:multiLevelType w:val="hybridMultilevel"/>
    <w:tmpl w:val="EC4FEAE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1B95553"/>
    <w:multiLevelType w:val="multilevel"/>
    <w:tmpl w:val="69A661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3" w15:restartNumberingAfterBreak="0">
    <w:nsid w:val="10D871D9"/>
    <w:multiLevelType w:val="hybridMultilevel"/>
    <w:tmpl w:val="432EC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DEA"/>
    <w:multiLevelType w:val="hybridMultilevel"/>
    <w:tmpl w:val="096A6F48"/>
    <w:lvl w:ilvl="0" w:tplc="3FCE31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A855B3"/>
    <w:multiLevelType w:val="hybridMultilevel"/>
    <w:tmpl w:val="754A309E"/>
    <w:lvl w:ilvl="0" w:tplc="22D24C10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053F55"/>
    <w:multiLevelType w:val="hybridMultilevel"/>
    <w:tmpl w:val="A940A156"/>
    <w:lvl w:ilvl="0" w:tplc="B90C8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92736"/>
    <w:multiLevelType w:val="hybridMultilevel"/>
    <w:tmpl w:val="556E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B930A"/>
    <w:multiLevelType w:val="hybridMultilevel"/>
    <w:tmpl w:val="38EFE68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716339B"/>
    <w:multiLevelType w:val="hybridMultilevel"/>
    <w:tmpl w:val="D4EA9786"/>
    <w:lvl w:ilvl="0" w:tplc="10C0D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03A7B9"/>
    <w:multiLevelType w:val="hybridMultilevel"/>
    <w:tmpl w:val="260CE90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7221FC6"/>
    <w:multiLevelType w:val="hybridMultilevel"/>
    <w:tmpl w:val="0F885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7FB45"/>
    <w:multiLevelType w:val="hybridMultilevel"/>
    <w:tmpl w:val="50B54C1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750661712">
    <w:abstractNumId w:val="7"/>
  </w:num>
  <w:num w:numId="2" w16cid:durableId="519776812">
    <w:abstractNumId w:val="2"/>
  </w:num>
  <w:num w:numId="3" w16cid:durableId="1214848505">
    <w:abstractNumId w:val="9"/>
  </w:num>
  <w:num w:numId="4" w16cid:durableId="43407014">
    <w:abstractNumId w:val="6"/>
  </w:num>
  <w:num w:numId="5" w16cid:durableId="1589459776">
    <w:abstractNumId w:val="5"/>
  </w:num>
  <w:num w:numId="6" w16cid:durableId="1236666091">
    <w:abstractNumId w:val="11"/>
  </w:num>
  <w:num w:numId="7" w16cid:durableId="738140662">
    <w:abstractNumId w:val="4"/>
  </w:num>
  <w:num w:numId="8" w16cid:durableId="499471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620145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338228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7130670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206280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97151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AD"/>
    <w:rsid w:val="00030730"/>
    <w:rsid w:val="000F4E30"/>
    <w:rsid w:val="001107DB"/>
    <w:rsid w:val="00131F99"/>
    <w:rsid w:val="0015652A"/>
    <w:rsid w:val="00287CDD"/>
    <w:rsid w:val="002970DB"/>
    <w:rsid w:val="002B24D6"/>
    <w:rsid w:val="00335C3E"/>
    <w:rsid w:val="00360FFB"/>
    <w:rsid w:val="0037224D"/>
    <w:rsid w:val="003B3B79"/>
    <w:rsid w:val="003D08B3"/>
    <w:rsid w:val="003F2459"/>
    <w:rsid w:val="00452674"/>
    <w:rsid w:val="00495E71"/>
    <w:rsid w:val="004B4556"/>
    <w:rsid w:val="00664AE7"/>
    <w:rsid w:val="00671FFC"/>
    <w:rsid w:val="006B4F2C"/>
    <w:rsid w:val="00762B45"/>
    <w:rsid w:val="007834AD"/>
    <w:rsid w:val="00854D2C"/>
    <w:rsid w:val="0095565D"/>
    <w:rsid w:val="00977CE1"/>
    <w:rsid w:val="00986336"/>
    <w:rsid w:val="009C1EB0"/>
    <w:rsid w:val="00A94760"/>
    <w:rsid w:val="00AC5A14"/>
    <w:rsid w:val="00B30EEF"/>
    <w:rsid w:val="00B90025"/>
    <w:rsid w:val="00CC2814"/>
    <w:rsid w:val="00D01520"/>
    <w:rsid w:val="00D0515F"/>
    <w:rsid w:val="00D95345"/>
    <w:rsid w:val="00DA5646"/>
    <w:rsid w:val="00E45750"/>
    <w:rsid w:val="00EB5B3A"/>
    <w:rsid w:val="00F00B06"/>
    <w:rsid w:val="00F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DBA1"/>
  <w15:chartTrackingRefBased/>
  <w15:docId w15:val="{15867520-E531-4D4F-9F76-7CA2CA6E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4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4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4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4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4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4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4A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834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34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4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4AD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B5B3A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5B3A"/>
    <w:rPr>
      <w:kern w:val="0"/>
      <w14:ligatures w14:val="none"/>
    </w:rPr>
  </w:style>
  <w:style w:type="paragraph" w:customStyle="1" w:styleId="Styl1">
    <w:name w:val="Styl1"/>
    <w:basedOn w:val="Nagwek2"/>
    <w:rsid w:val="00D0515F"/>
    <w:pPr>
      <w:keepLines w:val="0"/>
      <w:spacing w:before="240" w:after="60" w:line="240" w:lineRule="auto"/>
      <w:jc w:val="both"/>
    </w:pPr>
    <w:rPr>
      <w:rFonts w:ascii="Arial" w:eastAsia="Times New Roman" w:hAnsi="Arial" w:cs="Arial"/>
      <w:b/>
      <w:iCs/>
      <w:color w:val="auto"/>
      <w:spacing w:val="4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4575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locked/>
    <w:rsid w:val="003D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Tamal</dc:creator>
  <cp:keywords/>
  <dc:description/>
  <cp:lastModifiedBy>Tamal</cp:lastModifiedBy>
  <cp:revision>9</cp:revision>
  <dcterms:created xsi:type="dcterms:W3CDTF">2024-06-26T06:27:00Z</dcterms:created>
  <dcterms:modified xsi:type="dcterms:W3CDTF">2024-06-26T08:20:00Z</dcterms:modified>
</cp:coreProperties>
</file>