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BF" w:rsidRDefault="00CF7EDD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.35pt;width:524.5pt;height:41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1XKQIAAFA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">
            <v:textbox>
              <w:txbxContent>
                <w:p w:rsidR="00CF7EDD" w:rsidRDefault="00CF7EDD" w:rsidP="00537DC8">
                  <w:pPr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537DC8">
                    <w:rPr>
                      <w:rFonts w:cs="Calibri"/>
                      <w:b/>
                      <w:sz w:val="24"/>
                      <w:szCs w:val="24"/>
                      <w:lang w:val="pl-PL"/>
                    </w:rPr>
                    <w:t>Formularz ofertowy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                                                                                                                                                                                  Tabela nr 5  opis techniczny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</w:p>
                <w:p w:rsidR="00CF7EDD" w:rsidRPr="00CC3909" w:rsidRDefault="00CF7EDD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393"/>
        <w:gridCol w:w="1169"/>
        <w:gridCol w:w="17"/>
        <w:gridCol w:w="64"/>
        <w:gridCol w:w="532"/>
        <w:gridCol w:w="67"/>
        <w:gridCol w:w="3765"/>
        <w:gridCol w:w="939"/>
        <w:gridCol w:w="3544"/>
        <w:gridCol w:w="4018"/>
      </w:tblGrid>
      <w:tr w:rsidR="00D756BF" w:rsidRPr="00B13B0E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A9479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boczne poduszki bezpieczeństwa</w:t>
            </w:r>
            <w:r w:rsidR="0040393E" w:rsidRP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fabrycznie montowana szyba czołowa podgrzewana elektrycznie</w:t>
            </w:r>
            <w:r w:rsidR="00A94798"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, </w:t>
            </w:r>
            <w:r w:rsidRPr="00A9479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automatyczny, elektryczny system domykania drzwi przesuwnych lewych i prawych</w:t>
            </w: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906C39">
        <w:trPr>
          <w:gridAfter w:val="1"/>
          <w:wAfter w:w="1382" w:type="pct"/>
          <w:trHeight w:val="97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 w:rsidP="00906C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–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 w:rsidRPr="001B689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skrzynia biegów automatyczna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906C39" w:rsidRPr="00906C3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 punktowane, SWZ, pkt. XXVI, tabela nr 2)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:rsidR="00857781" w:rsidRDefault="00CF7EDD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lastRenderedPageBreak/>
              <w:pict>
                <v:shape id="Text Box 5" o:spid="_x0000_s2054" type="#_x0000_t202" style="position:absolute;margin-left:-.5pt;margin-top:9.55pt;width:527.2pt;height:53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">
                  <v:textbox style="mso-next-textbox:#Text Box 5">
                    <w:txbxContent>
                      <w:p w:rsidR="00CF7EDD" w:rsidRPr="00537DC8" w:rsidRDefault="00CF7EDD" w:rsidP="00537DC8">
                        <w:pPr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</w:pPr>
                        <w:r w:rsidRPr="00537DC8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  <w:t>Formularz ofertowy</w:t>
                        </w:r>
                      </w:p>
                      <w:p w:rsidR="00CF7EDD" w:rsidRPr="003815B8" w:rsidRDefault="00CF7EDD" w:rsidP="00537DC8">
                        <w:pPr>
                          <w:jc w:val="center"/>
                          <w:rPr>
                            <w:rFonts w:ascii="Times New Roman" w:hAnsi="Times New Roman"/>
                            <w:bCs/>
                            <w:lang w:val="pl-PL" w:eastAsia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      opis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>skompletowanego ambulansu sanitarnego  z zabudową specjalistyczną</w:t>
                        </w:r>
                      </w:p>
                      <w:p w:rsidR="00CF7EDD" w:rsidRDefault="00CF7EDD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A7C1A" w:rsidRDefault="00857781" w:rsidP="007E2B43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Dz. U. z 20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122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z </w:t>
            </w:r>
            <w:proofErr w:type="spellStart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</w:t>
            </w:r>
            <w:r w:rsidR="00403B99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C)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D</w:t>
            </w:r>
            <w:r w:rsidR="0020034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.U.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2023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118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</w:t>
            </w:r>
            <w:proofErr w:type="spellStart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zm.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bookmarkStart w:id="0" w:name="_GoBack"/>
            <w:bookmarkEnd w:id="0"/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Pr="00D56AF3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909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</w:t>
            </w:r>
            <w:r w:rsidR="000A528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909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A9479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wysokość</w:t>
            </w:r>
            <w:r w:rsidR="00D90981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</w:t>
            </w:r>
            <w:r w:rsidR="00906C39" w:rsidRPr="00A9479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175 cm 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F5E0C" w:rsidRDefault="00857781" w:rsidP="0035599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92" w:rsidRPr="009912C0" w:rsidRDefault="00857781" w:rsidP="0033464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Do oferty złączyć Certyfikat zgodności z </w:t>
            </w:r>
            <w:r w:rsidR="00705637" w:rsidRPr="00705637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Rozporządzeniem UE 2017/745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dla sprzęt</w:t>
            </w:r>
            <w:r w:rsidR="004257D5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u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medycznego</w:t>
            </w:r>
            <w:r w:rsidR="00CC33A8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5637" w:rsidRDefault="00857781" w:rsidP="004B2F3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</w:t>
            </w:r>
          </w:p>
          <w:p w:rsidR="004B2F30" w:rsidRDefault="00857781" w:rsidP="004B2F30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 z 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Rozporządzeniem UE 2017/745 dla wyrobu medycznego</w:t>
            </w:r>
          </w:p>
          <w:p w:rsidR="00857781" w:rsidRPr="00424A73" w:rsidRDefault="008A17F2" w:rsidP="004B2F3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4642" w:rsidRPr="00705637" w:rsidRDefault="00857781" w:rsidP="00705637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ależy załączyć certyfikat zgodności z</w:t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zgodności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Rozporządzeniem UE 2017/745 dla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,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A17F2" w:rsidRPr="00B13B0E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powinny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system składanego podwozia zapewniający łatwy załadunek do ambulansu,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*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dop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</w:t>
            </w:r>
          </w:p>
          <w:p w:rsidR="005E7C21" w:rsidRPr="001B689F" w:rsidRDefault="005E7C21" w:rsidP="005E7C21">
            <w:pP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</w:pP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Laweta </w:t>
            </w:r>
            <w:r w:rsid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z napędem elektrycznym 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automatyczny (bez konieczności wykonywania żadnych czynności fizycznych przez personel takich jak: dźwiganie, podnoszenie, wpychanie - wyciąganie ręczne, </w:t>
            </w:r>
            <w:proofErr w:type="spellStart"/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itp</w:t>
            </w:r>
            <w:proofErr w:type="spellEnd"/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…),  załadunek i rozładunek  noszy do /z karetki poprze system samoczynnie wciągający i wysuwający nosze, stanowiący element lawety . Laweta</w:t>
            </w:r>
            <w:r w:rsidRPr="001B689F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u w:val="single"/>
                <w:lang w:val="pl-PL"/>
              </w:rPr>
              <w:t xml:space="preserve"> 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lub posiadająca dodatkowy składany najazd pełniący tą funkcję. 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br/>
              <w:t>W przypadkach awaryjnych systemu automatycznego załadunku lub braku zasilania laweta musi umożliwiać ręczne wprowadzenie i wyprowadzenie noszy z ambulansu.</w:t>
            </w:r>
          </w:p>
          <w:p w:rsidR="001B689F" w:rsidRDefault="005E7C21" w:rsidP="001B689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Zamontowany system bezwzględnego wyłączenia mechanizmów wciągania i zatrzymania się w przypadku wystąpienia zagrożenia związanego z załadunkiem.</w:t>
            </w:r>
            <w:r w:rsid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1B689F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E005A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regulację wysokości podstawy po wysunięciu - 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możliwoś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ć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płynnego wyregulowania wysokości płyty najazdowej podstawy do wysokości najazdowej kółek transportera noszy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Pr="00327F8D" w:rsidRDefault="00857781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B13B0E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5B55" w:rsidRDefault="00857781" w:rsidP="009153F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4D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9153F4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3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 w:rsidR="009153F4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="00C122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oraz HP 250.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Wszystkie w/w działania nie będą miały wpływu na zakres i czas udzielonych gwarancji.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857781" w:rsidRPr="0082769D" w:rsidRDefault="008A17F2" w:rsidP="004D1E5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GPS 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– </w:t>
            </w:r>
            <w:r w:rsidR="0082769D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:rsidR="00361FC7" w:rsidRPr="00834F98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361FC7" w:rsidRPr="00B13B0E" w:rsidTr="007C615C">
              <w:trPr>
                <w:trHeight w:val="890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B13B0E" w:rsidTr="007C615C">
              <w:trPr>
                <w:trHeight w:val="29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B13B0E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38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34642">
              <w:trPr>
                <w:trHeight w:hRule="exact" w:val="39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7C615C">
              <w:trPr>
                <w:trHeight w:hRule="exact" w:val="714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A44486">
              <w:trPr>
                <w:trHeight w:val="24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 w:rsidR="00C1227B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="00C1227B"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="00E439A9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="00E439A9"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1134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F7EDD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857781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B13B0E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140C7F">
        <w:rPr>
          <w:rFonts w:ascii="Arial" w:hAnsi="Arial"/>
          <w:snapToGrid w:val="0"/>
          <w:color w:val="000000"/>
          <w:sz w:val="18"/>
          <w:szCs w:val="18"/>
          <w:lang w:val="pl-PL"/>
        </w:rPr>
        <w:t>3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594BF2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DD" w:rsidRDefault="00CF7EDD">
      <w:r>
        <w:separator/>
      </w:r>
    </w:p>
  </w:endnote>
  <w:endnote w:type="continuationSeparator" w:id="0">
    <w:p w:rsidR="00CF7EDD" w:rsidRDefault="00CF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DD" w:rsidRDefault="00CF7EDD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B4BF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F7EDD" w:rsidRDefault="00CF7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DD" w:rsidRDefault="00CF7EDD">
      <w:r>
        <w:separator/>
      </w:r>
    </w:p>
  </w:footnote>
  <w:footnote w:type="continuationSeparator" w:id="0">
    <w:p w:rsidR="00CF7EDD" w:rsidRDefault="00CF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DD" w:rsidRDefault="00CF7EDD" w:rsidP="00594BF2">
    <w:pPr>
      <w:pStyle w:val="Nagwek"/>
      <w:jc w:val="center"/>
      <w:rPr>
        <w:i/>
        <w:sz w:val="16"/>
        <w:lang w:val="pl-PL"/>
      </w:rPr>
    </w:pPr>
  </w:p>
  <w:p w:rsidR="00CF7EDD" w:rsidRDefault="00CF7EDD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:rsidR="00CF7EDD" w:rsidRDefault="00CF7EDD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3/AMB/2023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53C5"/>
    <w:rsid w:val="0005719E"/>
    <w:rsid w:val="00061BC8"/>
    <w:rsid w:val="00067E7D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443C"/>
    <w:rsid w:val="0014574D"/>
    <w:rsid w:val="0014593F"/>
    <w:rsid w:val="00155CC0"/>
    <w:rsid w:val="00156C8A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637"/>
    <w:rsid w:val="007057A8"/>
    <w:rsid w:val="00705A7E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543B"/>
    <w:rsid w:val="008564BF"/>
    <w:rsid w:val="00857781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B080A"/>
    <w:rsid w:val="009B3637"/>
    <w:rsid w:val="009B76C2"/>
    <w:rsid w:val="009C13A5"/>
    <w:rsid w:val="009C321A"/>
    <w:rsid w:val="009D0483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C1F15"/>
    <w:rsid w:val="00BC270A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48D3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CF7EDD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6AF3"/>
    <w:rsid w:val="00D60544"/>
    <w:rsid w:val="00D62E6C"/>
    <w:rsid w:val="00D62E8C"/>
    <w:rsid w:val="00D639C1"/>
    <w:rsid w:val="00D72AF2"/>
    <w:rsid w:val="00D756BF"/>
    <w:rsid w:val="00D8163A"/>
    <w:rsid w:val="00D83279"/>
    <w:rsid w:val="00D856BB"/>
    <w:rsid w:val="00D86652"/>
    <w:rsid w:val="00D90981"/>
    <w:rsid w:val="00D90E39"/>
    <w:rsid w:val="00D92FB8"/>
    <w:rsid w:val="00DA0312"/>
    <w:rsid w:val="00DA382A"/>
    <w:rsid w:val="00DA4264"/>
    <w:rsid w:val="00DB1DE9"/>
    <w:rsid w:val="00DB2585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2D63"/>
    <w:rsid w:val="00E342E9"/>
    <w:rsid w:val="00E36828"/>
    <w:rsid w:val="00E40CD6"/>
    <w:rsid w:val="00E41CA8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EE4"/>
    <w:rsid w:val="00FC4C30"/>
    <w:rsid w:val="00FE37B6"/>
    <w:rsid w:val="00FE4231"/>
    <w:rsid w:val="00FE58AE"/>
    <w:rsid w:val="00FF0190"/>
    <w:rsid w:val="00FF0A63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2"/>
    </o:shapelayout>
  </w:shapeDefaults>
  <w:decimalSymbol w:val=","/>
  <w:listSeparator w:val=";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D844-2CFB-4B77-9741-93643F3C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22</Pages>
  <Words>5132</Words>
  <Characters>30794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56</cp:revision>
  <cp:lastPrinted>2022-03-29T07:11:00Z</cp:lastPrinted>
  <dcterms:created xsi:type="dcterms:W3CDTF">2021-04-25T18:03:00Z</dcterms:created>
  <dcterms:modified xsi:type="dcterms:W3CDTF">2023-04-18T08:55:00Z</dcterms:modified>
</cp:coreProperties>
</file>