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AE49A7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</w:t>
      </w:r>
      <w:r w:rsidR="00BF64EA">
        <w:rPr>
          <w:rFonts w:asciiTheme="minorHAnsi" w:hAnsiTheme="minorHAnsi" w:cstheme="minorHAnsi"/>
          <w:b/>
          <w:sz w:val="22"/>
          <w:szCs w:val="22"/>
        </w:rPr>
        <w:t>1.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>u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 xml:space="preserve">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AE49A7">
        <w:rPr>
          <w:rFonts w:asciiTheme="minorHAnsi" w:hAnsiTheme="minorHAnsi" w:cstheme="minorHAnsi"/>
          <w:b/>
          <w:iCs/>
          <w:sz w:val="24"/>
          <w:szCs w:val="24"/>
        </w:rPr>
        <w:t>Zakup sprzętu i oprogramowania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FD64E3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6EC2-DC37-4A28-BB3D-49C056C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2022-09-14T07:53:00Z</dcterms:created>
  <dcterms:modified xsi:type="dcterms:W3CDTF">2022-09-14T07:53:00Z</dcterms:modified>
</cp:coreProperties>
</file>