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08" w:rsidRPr="0026596E" w:rsidRDefault="00E12F08" w:rsidP="00E12F08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t>ZAŁĄCZNIK NR 3</w:t>
      </w:r>
    </w:p>
    <w:p w:rsidR="00E12F08" w:rsidRPr="0026596E" w:rsidRDefault="00E12F08" w:rsidP="00E12F08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E12F08" w:rsidRPr="004B5E59" w:rsidRDefault="00E12F08" w:rsidP="00E12F08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:rsidR="00E12F08" w:rsidRPr="004B5E59" w:rsidRDefault="00E12F08" w:rsidP="00E12F08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0" w:name="_Hlk61538022"/>
    </w:p>
    <w:p w:rsidR="00E12F08" w:rsidRPr="00B92FBA" w:rsidRDefault="00E12F08" w:rsidP="00E12F08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kern w:val="2"/>
          <w:sz w:val="20"/>
          <w:szCs w:val="20"/>
          <w:lang w:eastAsia="en-US"/>
        </w:rPr>
        <w:br/>
      </w:r>
      <w:r>
        <w:rPr>
          <w:rFonts w:eastAsia="Arial"/>
          <w:b/>
          <w:color w:val="000000"/>
          <w:position w:val="-1"/>
          <w:sz w:val="20"/>
          <w:szCs w:val="20"/>
        </w:rPr>
        <w:t>pn.</w:t>
      </w:r>
      <w:r w:rsidRPr="001B1682"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Dostawa oleju napędowego</w:t>
      </w:r>
    </w:p>
    <w:p w:rsidR="00E12F08" w:rsidRPr="00F20778" w:rsidRDefault="00E12F08" w:rsidP="00E12F08">
      <w:pPr>
        <w:pStyle w:val="western"/>
        <w:spacing w:before="57" w:after="57" w:line="102" w:lineRule="atLeast"/>
        <w:ind w:left="-17"/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eastAsia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eastAsia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eastAsia="Arial"/>
          <w:color w:val="000000"/>
          <w:position w:val="-1"/>
          <w:sz w:val="20"/>
          <w:szCs w:val="20"/>
        </w:rPr>
        <w:t>.</w:t>
      </w:r>
    </w:p>
    <w:p w:rsidR="00E12F08" w:rsidRPr="004B5E59" w:rsidRDefault="00E12F08" w:rsidP="00E12F08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0"/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:rsidR="00E12F08" w:rsidRPr="004B5E59" w:rsidRDefault="00E12F08" w:rsidP="00E12F08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:rsidR="00E12F08" w:rsidRPr="004B5E59" w:rsidRDefault="00E12F08" w:rsidP="00E12F08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:rsidR="00E12F08" w:rsidRPr="004B5E59" w:rsidRDefault="00E12F08" w:rsidP="00E12F08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:rsidR="00E12F08" w:rsidRPr="004B5E59" w:rsidRDefault="00E12F08" w:rsidP="00E12F08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:rsidR="00E12F08" w:rsidRPr="004B5E59" w:rsidRDefault="00E12F08" w:rsidP="00E12F08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podwykonawców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, 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wykonaw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wykonawca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:rsidR="00E12F08" w:rsidRPr="004B5E59" w:rsidRDefault="00E12F08" w:rsidP="00E12F08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4B5E5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4B5E5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E12F08" w:rsidRDefault="00E12F08" w:rsidP="00E12F08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:rsidR="00E12F08" w:rsidRDefault="00E12F08" w:rsidP="00E12F0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E12F08" w:rsidRPr="004045C9" w:rsidRDefault="00E12F08" w:rsidP="00E12F08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F37285" w:rsidRDefault="00F37285">
      <w:bookmarkStart w:id="1" w:name="_GoBack"/>
      <w:bookmarkEnd w:id="1"/>
    </w:p>
    <w:sectPr w:rsidR="00F37285" w:rsidSect="0041028C">
      <w:footerReference w:type="default" r:id="rId5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4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A2F0A" w:rsidRPr="00E065BA" w:rsidRDefault="00E12F0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065BA">
          <w:rPr>
            <w:rFonts w:ascii="Arial" w:hAnsi="Arial" w:cs="Arial"/>
            <w:sz w:val="20"/>
            <w:szCs w:val="20"/>
          </w:rPr>
          <w:fldChar w:fldCharType="begin"/>
        </w:r>
        <w:r w:rsidRPr="00E065BA">
          <w:rPr>
            <w:rFonts w:ascii="Arial" w:hAnsi="Arial" w:cs="Arial"/>
            <w:sz w:val="20"/>
            <w:szCs w:val="20"/>
          </w:rPr>
          <w:instrText>PAGE   \* MERGEFORMAT</w:instrText>
        </w:r>
        <w:r w:rsidRPr="00E065B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E065B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A2F0A" w:rsidRDefault="00E12F08">
    <w:pPr>
      <w:pStyle w:val="Stopka"/>
      <w:ind w:right="360"/>
      <w:rPr>
        <w:rFonts w:cs="Tahom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08"/>
    <w:rsid w:val="00E12F08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3CF9C-6677-4FDD-B1C1-E99353C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F0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2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F08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ny"/>
    <w:rsid w:val="00E12F08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2023-06-12T10:02:00Z</dcterms:created>
  <dcterms:modified xsi:type="dcterms:W3CDTF">2023-06-12T10:03:00Z</dcterms:modified>
</cp:coreProperties>
</file>