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673DB0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">
            <v:textbox>
              <w:txbxContent>
                <w:p w:rsidR="00B972A6" w:rsidRDefault="00B972A6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</w:t>
                  </w:r>
                </w:p>
                <w:p w:rsidR="00B972A6" w:rsidRPr="00CC3909" w:rsidRDefault="00B972A6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F43ACF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713EAE">
        <w:trPr>
          <w:gridAfter w:val="1"/>
          <w:wAfter w:w="1382" w:type="pct"/>
          <w:trHeight w:val="299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F43ACF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877E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kierowcy,</w:t>
            </w:r>
            <w:r w:rsidR="001055A1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boczne poduszki bezpieczeństwa 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F43ACF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72031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9A2A4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nadwozia: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5F7778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żółty</w:t>
            </w:r>
            <w:r w:rsidR="00DA4264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9A2A4E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(RAL 1016)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F43ACF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F43ACF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F43ACF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7D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fabrycznie montowana szyba czołowa podgrzewana elektrycznie –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automatyczny, elektryczny system domykania drzwi przesuwnych lewych i prawych –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0C10FE">
        <w:trPr>
          <w:gridAfter w:val="1"/>
          <w:wAfter w:w="1382" w:type="pct"/>
          <w:cantSplit/>
          <w:trHeight w:val="1419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0C10F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A4384D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72031E"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F43AC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F43ACF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Nm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pojemność, moc silnika w KM oraz maksymalny moment obrotowy w Nm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F43ACF" w:rsidTr="004015AA">
        <w:trPr>
          <w:gridAfter w:val="1"/>
          <w:wAfter w:w="1382" w:type="pct"/>
          <w:trHeight w:val="77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263544" w:rsidRDefault="00857781" w:rsidP="00713EA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0C10F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869E5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713EAE">
        <w:trPr>
          <w:gridAfter w:val="1"/>
          <w:wAfter w:w="1382" w:type="pct"/>
          <w:trHeight w:val="55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kpl.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713EAE" w:rsidRDefault="00713EAE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25F1C" w:rsidRDefault="00525F1C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673DB0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73DB0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Text Box 5" o:spid="_x0000_s2050" type="#_x0000_t202" style="position:absolute;margin-left:-.5pt;margin-top:9.55pt;width:527.2pt;height:4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">
                  <v:textbox style="mso-next-textbox:#Text Box 5">
                    <w:txbxContent>
                      <w:p w:rsidR="00B972A6" w:rsidRPr="00537DC8" w:rsidRDefault="00B972A6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B972A6" w:rsidRDefault="00B972A6" w:rsidP="00713EA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skompletowanego ambulansu sanitarnego  z zabudową specjalistyczną </w:t>
                        </w:r>
                      </w:p>
                      <w:p w:rsidR="00B972A6" w:rsidRDefault="00B972A6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972A6" w:rsidRPr="003815B8" w:rsidRDefault="00B972A6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</w:p>
                      <w:p w:rsidR="00B972A6" w:rsidRDefault="00B972A6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F43ACF" w:rsidTr="00713EAE">
        <w:trPr>
          <w:gridAfter w:val="1"/>
          <w:wAfter w:w="1382" w:type="pct"/>
          <w:cantSplit/>
          <w:trHeight w:val="66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, z późn.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późn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F43ACF" w:rsidTr="00713EAE">
        <w:trPr>
          <w:gridAfter w:val="1"/>
          <w:wAfter w:w="1382" w:type="pct"/>
          <w:cantSplit/>
          <w:trHeight w:val="193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b) napis „AMBULANS” z tyłu pojazdu o wysokości min. 10 cm, w.g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  <w:t>Wycięte emblematy „P” i „S” – bez przyklejania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F43ACF" w:rsidTr="00D26A30">
        <w:trPr>
          <w:gridAfter w:val="1"/>
          <w:wAfter w:w="1382" w:type="pct"/>
          <w:cantSplit/>
          <w:trHeight w:val="87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Pr="009B080A" w:rsidRDefault="00F1118E" w:rsidP="00B135B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2 emblematy </w:t>
            </w:r>
            <w:r w:rsidR="00B135BB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instytucji dotującej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wg wzoru </w:t>
            </w:r>
            <w:r w:rsidR="00B135B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dostarczonego po podpisaniu umowy</w:t>
            </w:r>
            <w:r w:rsidR="004E7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naklejone na lewą i prawą część nadwozia ambulansu 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zamontowania drukarki HP Officejet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kW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 oraz moc w W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dwuparownikowa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 </w:t>
            </w:r>
            <w:r w:rsidR="0072031E" w:rsidRPr="00356EB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2200W-185A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przy napięciu 12V)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="0072031E" w:rsidRP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tylko przy uruchomionym silniku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Lexel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Lexel)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peszle)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wewn.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dla mo żliwości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Modura do zamocowania respiratora lub p-py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miejsca dla defibrylatora; w szczególności Lifepak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Modura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</w:t>
            </w:r>
            <w:r w:rsidR="006472D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6472D4" w:rsidRPr="00356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 lub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56EB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356E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w środku otworu drzwi.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(termobox)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temperatury w termoboxie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Ponadto posiadający funkcje wyświetlania aktualnego czasu oraz temperatury w przedziale i na zewnątrz jak również w termoboxie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lub elektryczna niskotonowa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 jest pawlacz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wg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PAR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 impedancji 50 Ohm dla f=168-170 Mhz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dB, wodoodporna, temp. pracy -40-+85 st.C,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EB2" w:rsidRPr="001F5E0C" w:rsidRDefault="00857781" w:rsidP="00356EB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356EB2" w:rsidRPr="00356EB2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</w:t>
            </w:r>
            <w:r w:rsidR="00356EB2" w:rsidRPr="00356EB2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o oferty złączyć Certyfikat zgodności z dyrektywą UE 93/42/EWG dla sprzętu medycznego wystawiony przez notyfikowaną jednostkę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56EB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F43ACF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itp…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570C0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z </w:t>
            </w:r>
            <w:r w:rsidRPr="0082358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="008A17F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F27D2C" w:rsidRDefault="00857781" w:rsidP="00334642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F27D2C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 certyfikat zgodności z</w:t>
            </w:r>
            <w:r w:rsidR="00E626E7"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zgodności </w:t>
            </w:r>
            <w:r w:rsidR="00E626E7"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F27D2C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Dyrektywą UE nr 93/42/EWG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 wyrobu medycznego</w:t>
            </w:r>
            <w:r w:rsidR="00355992"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,</w:t>
            </w:r>
            <w:r w:rsidRPr="00F27D2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F43ACF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szybkorozłączalnymi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:rsidRPr="00F43ACF" w:rsidTr="00F43ACF">
        <w:trPr>
          <w:gridAfter w:val="1"/>
          <w:wAfter w:w="1382" w:type="pct"/>
          <w:cantSplit/>
          <w:trHeight w:val="100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5F1" w:rsidRDefault="00857781" w:rsidP="00F27D2C">
            <w:pPr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</w:t>
            </w:r>
            <w:r w:rsidR="009465D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555F1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automatyczny</w:t>
            </w:r>
            <w:r w:rsidR="00735F66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="000555F1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załadunek</w:t>
            </w:r>
            <w:r w:rsidR="00F27D2C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i wyładunek</w:t>
            </w:r>
            <w:r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br/>
            </w:r>
            <w:r w:rsidR="00F27D2C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z</w:t>
            </w:r>
            <w:r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ambulansu, </w:t>
            </w:r>
            <w:r w:rsidR="000555F1" w:rsidRPr="00F43ACF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na lawecie opisanej w pkt 11.3 a i b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średnicę kółek jezdnych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ppkt.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 Podać ciężar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dop.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2B00BA">
        <w:trPr>
          <w:gridAfter w:val="1"/>
          <w:wAfter w:w="1382" w:type="pct"/>
          <w:cantSplit/>
          <w:trHeight w:val="579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F43ACF" w:rsidTr="009465DF">
        <w:trPr>
          <w:gridAfter w:val="1"/>
          <w:wAfter w:w="1382" w:type="pct"/>
          <w:cantSplit/>
          <w:trHeight w:val="567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F27D2C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Laweta 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C72BA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możliwiająca automatyczny 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(bez konieczności wykonywania żadnych czynności fizycznych przez personel takich jak</w:t>
            </w:r>
            <w:r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dźwiganie, podnoszenie</w:t>
            </w:r>
            <w:r w:rsidR="00F43ACF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 wpychanie -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wyciąganie</w:t>
            </w:r>
            <w:r w:rsidR="00F43ACF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ręczne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itp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…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 w:rsidR="00C72BA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załadunek i rozładunek  noszy do /z karetki poprze system samoczynnie wciągający 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 wysuwający nosze</w:t>
            </w:r>
            <w:r w:rsidR="009465DF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734F94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stanowiący element lawety .</w:t>
            </w:r>
            <w:r w:rsidR="00734F94" w:rsidRP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Laweta</w:t>
            </w:r>
            <w:r w:rsidR="00734F94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umożliwiająca boczny przesuw</w:t>
            </w:r>
            <w:r w:rsid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możliwość dojścia do pacjenta z każdej strony przy wsuniętych noszach do przedziału pacjenta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</w:t>
            </w:r>
            <w:r w:rsidR="00734F9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osiadająca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wysuw do tyłu i na zewnątrz z jednoczesnym pochyłem dla łatwego wprowadzenia noszy</w:t>
            </w:r>
            <w:r w:rsidR="00734F9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 transporterem</w:t>
            </w:r>
            <w:r w:rsid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734F9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 w:rsidR="00734F94" w:rsidRP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lub posiadająca dodatkowy skła</w:t>
            </w:r>
            <w:r w:rsidR="002B00B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dany najazd pełniący tą funkcję.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</w:r>
            <w:r w:rsidR="009465DF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przypadkach awaryjnych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systemu automatycznego załadunku</w:t>
            </w:r>
            <w:r w:rsidR="009465DF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braku zasilania laweta musi umożliwiać ręczne wprowadzenie i wyprowadzenie noszy z ambulansu</w:t>
            </w:r>
            <w:r w:rsidR="002B00BA" w:rsidRPr="00F43AC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  <w:p w:rsidR="007D35C7" w:rsidRPr="00F43ACF" w:rsidRDefault="00F43ACF" w:rsidP="00F43ACF">
            <w:pPr>
              <w:rPr>
                <w:rFonts w:ascii="Times New Roman" w:hAnsi="Times New Roman"/>
                <w:bCs/>
                <w:snapToGrid w:val="0"/>
                <w:color w:val="FF0000"/>
                <w:sz w:val="20"/>
                <w:szCs w:val="20"/>
                <w:lang w:val="pl-PL"/>
              </w:rPr>
            </w:pPr>
            <w:r w:rsidRPr="00B972A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S</w:t>
            </w:r>
            <w:r w:rsidR="007D35C7" w:rsidRPr="00B972A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ystem bezwzględnego wyłączenia mechanizmy wciągania </w:t>
            </w:r>
            <w:r w:rsidR="008B6A8B" w:rsidRPr="00B972A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i zatrzymania się </w:t>
            </w:r>
            <w:r w:rsidR="007D35C7" w:rsidRPr="00B972A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w przypadku wystąpienia zagrożenia związanego z załadunkiem </w:t>
            </w:r>
            <w:r w:rsidRPr="00B972A6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/>
                <w:bCs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="00E8176D">
              <w:rPr>
                <w:rFonts w:ascii="Times New Roman" w:hAnsi="Times New Roman"/>
                <w:bCs/>
                <w:snapToGrid w:val="0"/>
                <w:color w:val="FF0000"/>
                <w:sz w:val="20"/>
                <w:szCs w:val="20"/>
                <w:lang w:val="pl-PL"/>
              </w:rPr>
              <w:t>(</w:t>
            </w:r>
            <w:r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E8176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5C7" w:rsidRDefault="00857781" w:rsidP="001A6056">
            <w:pPr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 w:rsidR="007D35C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D35C7" w:rsidRPr="002B00B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lub składany tylny najazd pozwalający na załadunek noszy przy różnych wysokościach załadunkowych </w:t>
            </w:r>
            <w:r w:rsidR="002B00BA" w:rsidRPr="002B00B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 podłoża.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kpl.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F43AC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F43ACF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dmc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d.m.c. (brutto) skompletowanego ambulansu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4D1E5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F43ACF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 obsługi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 obsług (przeglądów)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F43ACF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t.j.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5D">
              <w:rPr>
                <w:rFonts w:ascii="Times New Roman" w:hAnsi="Times New Roman"/>
                <w:sz w:val="20"/>
                <w:szCs w:val="20"/>
              </w:rPr>
              <w:t>modułu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Zamontuję </w:t>
            </w:r>
            <w:r w:rsidRP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podstawę-uchwyt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 drukarki typu HP 202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6472D4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6472D4" w:rsidRPr="00F43AC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podstawę (stację dokującą) dla tabletu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,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ę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moduł 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GPS </w:t>
            </w:r>
          </w:p>
          <w:p w:rsidR="00857781" w:rsidRPr="0082769D" w:rsidRDefault="00CC23D8" w:rsidP="006472D4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="008A17F2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61FC7" w:rsidRPr="006472D4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252"/>
              <w:gridCol w:w="1134"/>
              <w:gridCol w:w="3933"/>
            </w:tblGrid>
            <w:tr w:rsidR="00361FC7" w:rsidRPr="00F43ACF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6472D4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6472D4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Lp</w:t>
                  </w:r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 „Tak” lub „Nie”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F43ACF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F43ACF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F43ACF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0BA" w:rsidRDefault="002B00B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F43ACF" w:rsidTr="002B00BA">
        <w:trPr>
          <w:cantSplit/>
          <w:trHeight w:val="66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4D1E55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pades”.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81D40" w:rsidRDefault="00081D40" w:rsidP="00081D40">
      <w:pPr>
        <w:rPr>
          <w:b/>
          <w:color w:val="0000FF"/>
          <w:lang w:val="pl-PL"/>
        </w:rPr>
      </w:pP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A6" w:rsidRDefault="00B972A6">
      <w:r>
        <w:separator/>
      </w:r>
    </w:p>
  </w:endnote>
  <w:endnote w:type="continuationSeparator" w:id="0">
    <w:p w:rsidR="00B972A6" w:rsidRDefault="00B9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A6" w:rsidRDefault="00B972A6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D2A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72A6" w:rsidRDefault="00B97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A6" w:rsidRDefault="00B972A6">
      <w:r>
        <w:separator/>
      </w:r>
    </w:p>
  </w:footnote>
  <w:footnote w:type="continuationSeparator" w:id="0">
    <w:p w:rsidR="00B972A6" w:rsidRDefault="00B9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A6" w:rsidRDefault="00B972A6" w:rsidP="00594BF2">
    <w:pPr>
      <w:pStyle w:val="Nagwek"/>
      <w:jc w:val="center"/>
      <w:rPr>
        <w:i/>
        <w:sz w:val="16"/>
        <w:lang w:val="pl-PL"/>
      </w:rPr>
    </w:pPr>
  </w:p>
  <w:p w:rsidR="00B972A6" w:rsidRDefault="00B972A6">
    <w:pPr>
      <w:pStyle w:val="Nagwek"/>
      <w:rPr>
        <w:lang w:val="pl-PL"/>
      </w:rPr>
    </w:pPr>
    <w:r>
      <w:rPr>
        <w:i/>
        <w:sz w:val="16"/>
        <w:lang w:val="pl-PL"/>
      </w:rPr>
      <w:t xml:space="preserve">  </w:t>
    </w:r>
    <w:r>
      <w:rPr>
        <w:rFonts w:ascii="Times New Roman" w:hAnsi="Times New Roman"/>
        <w:i/>
        <w:sz w:val="20"/>
        <w:lang w:val="pl-PL"/>
      </w:rPr>
      <w:t>Nr sprawy : 8/AMB/2022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55F1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27E56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35D1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0BA"/>
    <w:rsid w:val="002B0FC8"/>
    <w:rsid w:val="002B63B7"/>
    <w:rsid w:val="002D07AA"/>
    <w:rsid w:val="002D1F88"/>
    <w:rsid w:val="002D7432"/>
    <w:rsid w:val="002E1342"/>
    <w:rsid w:val="002E224B"/>
    <w:rsid w:val="002E3224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56EB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2DCF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7448"/>
    <w:rsid w:val="00470799"/>
    <w:rsid w:val="00470851"/>
    <w:rsid w:val="0047562C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1E55"/>
    <w:rsid w:val="004D26E3"/>
    <w:rsid w:val="004D4DD8"/>
    <w:rsid w:val="004D7324"/>
    <w:rsid w:val="004E0847"/>
    <w:rsid w:val="004E0BFF"/>
    <w:rsid w:val="004E0FA7"/>
    <w:rsid w:val="004E4E60"/>
    <w:rsid w:val="004E758E"/>
    <w:rsid w:val="004F4A4B"/>
    <w:rsid w:val="004F5CD7"/>
    <w:rsid w:val="004F7F9B"/>
    <w:rsid w:val="00506F6A"/>
    <w:rsid w:val="00507A52"/>
    <w:rsid w:val="00525F1C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2D4"/>
    <w:rsid w:val="00647F9E"/>
    <w:rsid w:val="006522B9"/>
    <w:rsid w:val="0065766B"/>
    <w:rsid w:val="00663838"/>
    <w:rsid w:val="00666612"/>
    <w:rsid w:val="00667679"/>
    <w:rsid w:val="00673DB0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3EAE"/>
    <w:rsid w:val="00714403"/>
    <w:rsid w:val="00714F11"/>
    <w:rsid w:val="0071549C"/>
    <w:rsid w:val="0072031E"/>
    <w:rsid w:val="0072493C"/>
    <w:rsid w:val="00724E24"/>
    <w:rsid w:val="00727396"/>
    <w:rsid w:val="00734F94"/>
    <w:rsid w:val="00735F6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4AC8"/>
    <w:rsid w:val="007667C3"/>
    <w:rsid w:val="00774B1E"/>
    <w:rsid w:val="007761AE"/>
    <w:rsid w:val="007777D5"/>
    <w:rsid w:val="00781936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5C7"/>
    <w:rsid w:val="007D378A"/>
    <w:rsid w:val="007D5AB3"/>
    <w:rsid w:val="007F1887"/>
    <w:rsid w:val="007F3872"/>
    <w:rsid w:val="007F6B0E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6A8B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155C"/>
    <w:rsid w:val="00901EC9"/>
    <w:rsid w:val="00906754"/>
    <w:rsid w:val="00910658"/>
    <w:rsid w:val="00910F2B"/>
    <w:rsid w:val="00911B4C"/>
    <w:rsid w:val="00911DDB"/>
    <w:rsid w:val="00913E15"/>
    <w:rsid w:val="00917D1B"/>
    <w:rsid w:val="00926A3D"/>
    <w:rsid w:val="00927D35"/>
    <w:rsid w:val="00936521"/>
    <w:rsid w:val="00940A31"/>
    <w:rsid w:val="00943BDA"/>
    <w:rsid w:val="00943E56"/>
    <w:rsid w:val="00943FD0"/>
    <w:rsid w:val="009465DF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A4E"/>
    <w:rsid w:val="009B080A"/>
    <w:rsid w:val="009B3637"/>
    <w:rsid w:val="009B76C2"/>
    <w:rsid w:val="009C13A5"/>
    <w:rsid w:val="009D0483"/>
    <w:rsid w:val="009D2A36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8F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5BB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510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30BB"/>
    <w:rsid w:val="00B750B3"/>
    <w:rsid w:val="00B86247"/>
    <w:rsid w:val="00B87552"/>
    <w:rsid w:val="00B90ED3"/>
    <w:rsid w:val="00B972A6"/>
    <w:rsid w:val="00BA20D4"/>
    <w:rsid w:val="00BA2E2E"/>
    <w:rsid w:val="00BA558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2BA4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A61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6A30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02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176D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27D2C"/>
    <w:rsid w:val="00F308B7"/>
    <w:rsid w:val="00F32020"/>
    <w:rsid w:val="00F33CD9"/>
    <w:rsid w:val="00F344C5"/>
    <w:rsid w:val="00F35D44"/>
    <w:rsid w:val="00F43ACF"/>
    <w:rsid w:val="00F46BCB"/>
    <w:rsid w:val="00F51F30"/>
    <w:rsid w:val="00F61AAD"/>
    <w:rsid w:val="00F63A43"/>
    <w:rsid w:val="00F63E69"/>
    <w:rsid w:val="00F70C4D"/>
    <w:rsid w:val="00F77EAF"/>
    <w:rsid w:val="00F83548"/>
    <w:rsid w:val="00F837D5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C5F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C613-A2AE-42F0-9FF9-12CB1624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22</Pages>
  <Words>4799</Words>
  <Characters>30990</Characters>
  <Application>Microsoft Office Word</Application>
  <DocSecurity>0</DocSecurity>
  <Lines>258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12</cp:revision>
  <cp:lastPrinted>2022-03-29T07:11:00Z</cp:lastPrinted>
  <dcterms:created xsi:type="dcterms:W3CDTF">2022-06-01T09:56:00Z</dcterms:created>
  <dcterms:modified xsi:type="dcterms:W3CDTF">2022-06-03T09:39:00Z</dcterms:modified>
</cp:coreProperties>
</file>