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351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2021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2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  <w:t>przy kontrasygnacie głównego księgowego:……………………………………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>– nabiał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koszt oraz zgodnie z każdorazowo składanym zamówieniem pod względem 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35142C">
        <w:rPr>
          <w:rFonts w:ascii="Times New Roman" w:eastAsia="Calibri" w:hAnsi="Times New Roman" w:cs="Times New Roman"/>
          <w:sz w:val="28"/>
          <w:szCs w:val="28"/>
        </w:rPr>
        <w:t>.09.2021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35142C">
        <w:rPr>
          <w:rFonts w:ascii="Times New Roman" w:eastAsia="Calibri" w:hAnsi="Times New Roman" w:cs="Times New Roman"/>
          <w:sz w:val="28"/>
          <w:szCs w:val="28"/>
        </w:rPr>
        <w:t>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0124">
        <w:rPr>
          <w:rFonts w:ascii="Times New Roman" w:eastAsia="Calibri" w:hAnsi="Times New Roman" w:cs="Times New Roman"/>
          <w:sz w:val="28"/>
          <w:szCs w:val="28"/>
        </w:rPr>
        <w:t>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8ED4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cp:lastPrinted>2021-08-13T09:01:00Z</cp:lastPrinted>
  <dcterms:created xsi:type="dcterms:W3CDTF">2021-08-13T08:59:00Z</dcterms:created>
  <dcterms:modified xsi:type="dcterms:W3CDTF">2021-08-13T09:18:00Z</dcterms:modified>
</cp:coreProperties>
</file>