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C960" w14:textId="13EE38D6" w:rsidR="00655191" w:rsidRPr="00CF2FCA" w:rsidRDefault="00390672" w:rsidP="003906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FC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E0DCD">
        <w:rPr>
          <w:rFonts w:ascii="Times New Roman" w:hAnsi="Times New Roman" w:cs="Times New Roman"/>
          <w:b/>
          <w:sz w:val="24"/>
          <w:szCs w:val="24"/>
        </w:rPr>
        <w:t>1</w:t>
      </w:r>
      <w:r w:rsidR="009348CE">
        <w:rPr>
          <w:rFonts w:ascii="Times New Roman" w:hAnsi="Times New Roman" w:cs="Times New Roman"/>
          <w:b/>
          <w:sz w:val="24"/>
          <w:szCs w:val="24"/>
        </w:rPr>
        <w:t>b</w:t>
      </w:r>
      <w:r w:rsidRPr="00CF2FC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A07B181" w14:textId="77777777" w:rsidR="004412D2" w:rsidRDefault="004412D2" w:rsidP="00441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2496773"/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08FDAE8E" w14:textId="55657C93" w:rsidR="00F255E3" w:rsidRPr="00CF2FCA" w:rsidRDefault="00974547" w:rsidP="00CF2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547">
        <w:rPr>
          <w:rFonts w:ascii="Times New Roman" w:hAnsi="Times New Roman" w:cs="Times New Roman"/>
          <w:b/>
          <w:bCs/>
          <w:sz w:val="28"/>
          <w:szCs w:val="28"/>
        </w:rPr>
        <w:t xml:space="preserve">Część nr </w:t>
      </w:r>
      <w:r w:rsidR="006D08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7454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8D5CF1">
        <w:rPr>
          <w:rFonts w:ascii="Times New Roman" w:hAnsi="Times New Roman" w:cs="Times New Roman"/>
          <w:b/>
          <w:bCs/>
          <w:sz w:val="28"/>
          <w:szCs w:val="28"/>
        </w:rPr>
        <w:t>Oprogramowanie</w:t>
      </w:r>
    </w:p>
    <w:bookmarkEnd w:id="0"/>
    <w:p w14:paraId="071E34F6" w14:textId="77777777" w:rsidR="00CF2FCA" w:rsidRDefault="00CF2FCA" w:rsidP="00CF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214"/>
      </w:tblGrid>
      <w:tr w:rsidR="007E0DCD" w:rsidRPr="00475A42" w14:paraId="56281D2D" w14:textId="77777777" w:rsidTr="009648F0">
        <w:trPr>
          <w:cantSplit/>
          <w:trHeight w:val="470"/>
          <w:tblHeader/>
        </w:trPr>
        <w:tc>
          <w:tcPr>
            <w:tcW w:w="710" w:type="dxa"/>
            <w:shd w:val="clear" w:color="auto" w:fill="auto"/>
            <w:vAlign w:val="center"/>
          </w:tcPr>
          <w:p w14:paraId="2CE27DC3" w14:textId="77777777" w:rsidR="007E0DCD" w:rsidRPr="00475A42" w:rsidRDefault="007E0DCD" w:rsidP="00475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5A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0773" w:type="dxa"/>
            <w:gridSpan w:val="2"/>
            <w:shd w:val="clear" w:color="auto" w:fill="auto"/>
            <w:vAlign w:val="center"/>
          </w:tcPr>
          <w:p w14:paraId="07FF64C1" w14:textId="77777777" w:rsidR="007E0DCD" w:rsidRPr="00475A42" w:rsidRDefault="007E0DCD" w:rsidP="00475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5A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Cecha minimalna, wymagana przez Zamawiającego</w:t>
            </w:r>
          </w:p>
        </w:tc>
      </w:tr>
      <w:tr w:rsidR="007E0DCD" w:rsidRPr="00475A42" w14:paraId="321B33F7" w14:textId="77777777" w:rsidTr="009648F0">
        <w:trPr>
          <w:cantSplit/>
          <w:trHeight w:val="51"/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2994" w14:textId="77777777" w:rsidR="007E0DCD" w:rsidRPr="00475A42" w:rsidRDefault="007E0DCD" w:rsidP="00475A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75A4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BF1A0" w14:textId="77777777" w:rsidR="007E0DCD" w:rsidRPr="00475A42" w:rsidRDefault="007E0DCD" w:rsidP="00475A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75A4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36A15F51" w14:textId="77777777" w:rsidR="007E0DCD" w:rsidRPr="00475A42" w:rsidRDefault="007E0DCD" w:rsidP="00475A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75A4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055C31" w:rsidRPr="00FD1D87" w14:paraId="2CEB226A" w14:textId="77777777" w:rsidTr="004F3E51">
        <w:trPr>
          <w:cantSplit/>
          <w:trHeight w:val="227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309192B" w14:textId="5256466B" w:rsidR="00055C31" w:rsidRPr="00FD1D87" w:rsidRDefault="00055C31" w:rsidP="00F61A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FD1D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2F175380" w14:textId="0EB00B17" w:rsidR="00055C31" w:rsidRPr="00FD1D87" w:rsidRDefault="00055C31" w:rsidP="00F61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5C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VMware vSphere 7 Essentials Plus Kit for 3 hosts</w:t>
            </w:r>
          </w:p>
        </w:tc>
      </w:tr>
      <w:tr w:rsidR="00055C31" w14:paraId="336246A9" w14:textId="77777777" w:rsidTr="00F61AE2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53941496" w14:textId="528E45E8" w:rsidR="00055C31" w:rsidRDefault="00055C31" w:rsidP="00F61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6990A" w14:textId="77777777" w:rsidR="00055C31" w:rsidRDefault="00055C31" w:rsidP="00F61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9214" w:type="dxa"/>
            <w:vAlign w:val="center"/>
          </w:tcPr>
          <w:p w14:paraId="138A155D" w14:textId="39E1BC2E" w:rsidR="00055C31" w:rsidRPr="009206A9" w:rsidRDefault="00055C31" w:rsidP="00F61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Oprogramowanie do wirtualizacji zawierające VMware vSphere 7 Essentials Plus Kit, hypervisor ESXi dla maksymalnie trzech hostów po 2 procesory lub równoważne. Przez oprogramowanie równoważne w stosunku do oprogramowania wskazanego w SWZ rozumie się takie, które w sposób poprawny współpracuje z posiadanym oprogramowaniem przez Zamawiającego oraz realizuje wszystkie funkcje i posiada wszystkie cechy określone przez producenta posiadanego przez Zamawiającego oprogramowania oraz te opisane w SWZ</w:t>
            </w:r>
          </w:p>
        </w:tc>
      </w:tr>
      <w:tr w:rsidR="00055C31" w14:paraId="62FFEA34" w14:textId="77777777" w:rsidTr="00F61AE2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5C3D8BDF" w14:textId="1540CEFD" w:rsidR="00055C31" w:rsidRDefault="00055C31" w:rsidP="00F61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BD8FB" w14:textId="77777777" w:rsidR="00055C31" w:rsidRPr="006A1460" w:rsidRDefault="00055C31" w:rsidP="00F61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</w:t>
            </w:r>
          </w:p>
        </w:tc>
        <w:tc>
          <w:tcPr>
            <w:tcW w:w="9214" w:type="dxa"/>
            <w:vAlign w:val="center"/>
          </w:tcPr>
          <w:p w14:paraId="3D53F75A" w14:textId="77777777" w:rsidR="00055C31" w:rsidRPr="009206A9" w:rsidRDefault="00055C31" w:rsidP="00F61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Scentralizowane zarządzanie środowiskiem wirtualizacyjnym obejmujące do 3 serwerów fizycznych.</w:t>
            </w:r>
          </w:p>
          <w:p w14:paraId="6D2FEF65" w14:textId="6E5D43BF" w:rsidR="00055C31" w:rsidRPr="009206A9" w:rsidRDefault="00055C31" w:rsidP="00F61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Oprogramowanie obsługuje następujące funkcje: Update Manager, High Availability, vMotion, vStorage APIs dor Data Protection, vCenter Operations Manager Foundation, Data Protection, vShield Zones, vShield Endpoint i vSphere Replication.</w:t>
            </w:r>
          </w:p>
        </w:tc>
      </w:tr>
      <w:tr w:rsidR="00055C31" w14:paraId="0FA4444C" w14:textId="77777777" w:rsidTr="00F61AE2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0EC8B81E" w14:textId="39A1F030" w:rsidR="00055C31" w:rsidRDefault="00055C31" w:rsidP="00F61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C079A" w14:textId="77777777" w:rsidR="00055C31" w:rsidRDefault="00055C31" w:rsidP="00F61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licencji</w:t>
            </w:r>
          </w:p>
        </w:tc>
        <w:tc>
          <w:tcPr>
            <w:tcW w:w="9214" w:type="dxa"/>
            <w:vAlign w:val="center"/>
          </w:tcPr>
          <w:p w14:paraId="10CC7B56" w14:textId="071CFE34" w:rsidR="00055C31" w:rsidRDefault="00055C31" w:rsidP="00F61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Bezterminowa,</w:t>
            </w:r>
            <w:r w:rsidR="00B953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620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lata subskrypcji</w:t>
            </w:r>
            <w:r w:rsidR="007B589B">
              <w:t xml:space="preserve"> </w:t>
            </w:r>
            <w:r w:rsidR="007B589B" w:rsidRPr="007B5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Support/Subscription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E0DCD" w:rsidRPr="00475A42" w14:paraId="6F174C19" w14:textId="77777777" w:rsidTr="004F3E51">
        <w:trPr>
          <w:cantSplit/>
          <w:trHeight w:val="227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39407E5C" w14:textId="4AF4D1D7" w:rsidR="007E0DCD" w:rsidRPr="007E0DCD" w:rsidRDefault="00055C31" w:rsidP="00987454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E0DCD" w:rsidRPr="007E0D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7A76C2D2" w14:textId="6F930F4D" w:rsidR="007E0DCD" w:rsidRPr="007E0DCD" w:rsidRDefault="007B589B" w:rsidP="007E0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B58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Veeam Backup &amp; Replication Standard. 3 lata wsparcia. Licencja na 12 CPU</w:t>
            </w:r>
          </w:p>
        </w:tc>
      </w:tr>
      <w:tr w:rsidR="007E0DCD" w:rsidRPr="00475A42" w14:paraId="58199A87" w14:textId="77777777" w:rsidTr="009648F0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060420B0" w14:textId="7AA3B628" w:rsidR="007E0DCD" w:rsidRPr="00987454" w:rsidRDefault="00987454" w:rsidP="0098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6A4BA" w14:textId="260D3244" w:rsidR="007E0DCD" w:rsidRDefault="007E0DCD" w:rsidP="00475A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9214" w:type="dxa"/>
            <w:vAlign w:val="center"/>
          </w:tcPr>
          <w:p w14:paraId="1648F5A1" w14:textId="3D9C035E" w:rsidR="00C57D5D" w:rsidRPr="009206A9" w:rsidRDefault="00C57D5D" w:rsidP="00C57D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do tworzenia kopii zapasowych dla środowisk wirtualnych VMware vSphere i Microsoft </w:t>
            </w: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Hyper-V. Tworzenie polityk backupowych zapewniających automatyczny backup maszyn wirtualnych.</w:t>
            </w:r>
          </w:p>
          <w:p w14:paraId="67CA5487" w14:textId="2A917522" w:rsidR="00F34575" w:rsidRPr="009206A9" w:rsidRDefault="00F34575" w:rsidP="00475A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Przez oprogramowanie równoważne w stosunku do oprogramowania wskazanego w SWZ rozumie się takie, które w sposób poprawny współpracuje z posiadanym oprogramowaniem przez Zamawiającego oraz realizuje wszystkie funkcje i posiada wszystkie cechy określone przez producenta posiadanego przez Zamawiającego oprogramowania oraz te opisane w SWZ</w:t>
            </w:r>
          </w:p>
        </w:tc>
      </w:tr>
      <w:tr w:rsidR="007E0DCD" w:rsidRPr="00475A42" w14:paraId="6C4B06B9" w14:textId="77777777" w:rsidTr="009648F0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6BCF5D3B" w14:textId="47109AA3" w:rsidR="007E0DCD" w:rsidRPr="00987454" w:rsidRDefault="00987454" w:rsidP="00987454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388DE8" w14:textId="6DA118EA" w:rsidR="007E0DCD" w:rsidRPr="00475A42" w:rsidRDefault="00F415E5" w:rsidP="00475A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</w:t>
            </w:r>
          </w:p>
        </w:tc>
        <w:tc>
          <w:tcPr>
            <w:tcW w:w="9214" w:type="dxa"/>
            <w:vAlign w:val="center"/>
          </w:tcPr>
          <w:p w14:paraId="68175F0A" w14:textId="77CD44B3" w:rsidR="00C57D5D" w:rsidRPr="009206A9" w:rsidRDefault="00C57D5D" w:rsidP="00C57D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Tworzenie kopi pełnych i przyrostowych (incremental i reverse incremental).</w:t>
            </w:r>
          </w:p>
          <w:p w14:paraId="6F8A766D" w14:textId="404D147A" w:rsidR="00C57D5D" w:rsidRPr="009206A9" w:rsidRDefault="00C57D5D" w:rsidP="00C57D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Przywracanie pojedynczych plików, całych maszyn wirtualnych i elementów aplikacji.</w:t>
            </w:r>
          </w:p>
          <w:p w14:paraId="2DEE1D9F" w14:textId="77777777" w:rsidR="00C57D5D" w:rsidRPr="009206A9" w:rsidRDefault="00C57D5D" w:rsidP="00C57D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Instant VM Recovery: odzyskanie uszkodzonej maszyny wirtualnej w czasie krótszym niż dwie minuty</w:t>
            </w:r>
          </w:p>
          <w:p w14:paraId="3BC4DE25" w14:textId="77777777" w:rsidR="007E0DCD" w:rsidRPr="009206A9" w:rsidRDefault="00C57D5D" w:rsidP="00964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Natychmiastowe odzyskiwanie na poziomie pliku.</w:t>
            </w:r>
          </w:p>
          <w:p w14:paraId="594E4FFA" w14:textId="77777777" w:rsidR="00B43A90" w:rsidRPr="009206A9" w:rsidRDefault="00B43A90" w:rsidP="00964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Oprogramowanie musi być licencjonowanie w modelu “per-CPU”. Jakiekolwiek dodatkowe licencjonowanie (per zabezpieczony TB, dodatkowo płatna deduplikacja) nie jest dozwolone.</w:t>
            </w:r>
          </w:p>
          <w:p w14:paraId="4F2322D9" w14:textId="77777777" w:rsidR="00B43A90" w:rsidRPr="009206A9" w:rsidRDefault="00B43A90" w:rsidP="00964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Oprogramowanie musi być niezależne sprzętowo i umożliwiać wykorzystanie dowolnej platformy serwerowej i dyskowej.</w:t>
            </w:r>
          </w:p>
          <w:p w14:paraId="4DA8BF4B" w14:textId="39C6D6DA" w:rsidR="00B43A90" w:rsidRPr="009206A9" w:rsidRDefault="00B43A90" w:rsidP="00964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Oprogramowanie musi zapewniać możliwość uruchamiania dowolnych skryptów przed i po zadaniu backupowym lub przed i po wykonaniu zadania snapshota w posiadanym przez Zamawiającego środowisku VMware.</w:t>
            </w:r>
          </w:p>
        </w:tc>
      </w:tr>
      <w:tr w:rsidR="007E0DCD" w:rsidRPr="00475A42" w14:paraId="42D2321A" w14:textId="77777777" w:rsidTr="009648F0">
        <w:trPr>
          <w:cantSplit/>
          <w:trHeight w:val="284"/>
        </w:trPr>
        <w:tc>
          <w:tcPr>
            <w:tcW w:w="710" w:type="dxa"/>
            <w:shd w:val="clear" w:color="auto" w:fill="auto"/>
            <w:vAlign w:val="center"/>
          </w:tcPr>
          <w:p w14:paraId="544A7DD9" w14:textId="1A298313" w:rsidR="007E0DCD" w:rsidRPr="00987454" w:rsidRDefault="00987454" w:rsidP="00987454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AE0D9" w14:textId="77D7E6AB" w:rsidR="007E0DCD" w:rsidRPr="00475A42" w:rsidRDefault="007E0DCD" w:rsidP="007905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Subskrypcja</w:t>
            </w:r>
          </w:p>
        </w:tc>
        <w:tc>
          <w:tcPr>
            <w:tcW w:w="9214" w:type="dxa"/>
            <w:vAlign w:val="center"/>
          </w:tcPr>
          <w:p w14:paraId="2A20B7B4" w14:textId="7DD4816F" w:rsidR="007E0DCD" w:rsidRPr="00475A42" w:rsidRDefault="00B43A90" w:rsidP="007905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Licencja Wieczysta na 12 CPU oraz podstawowa subskrypcje wsparcia na okres min. </w:t>
            </w:r>
            <w:r w:rsidR="00A620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lata.</w:t>
            </w:r>
          </w:p>
        </w:tc>
      </w:tr>
      <w:tr w:rsidR="006C7216" w:rsidRPr="00475A42" w14:paraId="3965841C" w14:textId="77777777" w:rsidTr="00987454">
        <w:trPr>
          <w:cantSplit/>
          <w:trHeight w:val="284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1F26198" w14:textId="366FFB77" w:rsidR="006C7216" w:rsidRPr="006C7216" w:rsidRDefault="00987454" w:rsidP="00987454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59980E32" w14:textId="01F154AE" w:rsidR="006C7216" w:rsidRPr="006C7216" w:rsidRDefault="00E07785" w:rsidP="006C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0778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Licencja na Windows Datacenter</w:t>
            </w:r>
            <w:r w:rsidR="00DF47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2019</w:t>
            </w:r>
            <w:r w:rsidRPr="00E0778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dla 1 serwera - 64 core</w:t>
            </w:r>
            <w:r w:rsidR="006C7216" w:rsidRPr="006C72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E0DCD" w:rsidRPr="00475A42" w14:paraId="4CC398AD" w14:textId="77777777" w:rsidTr="009648F0">
        <w:trPr>
          <w:gridAfter w:val="2"/>
          <w:wAfter w:w="10773" w:type="dxa"/>
          <w:cantSplit/>
          <w:trHeight w:val="284"/>
          <w:hidden/>
        </w:trPr>
        <w:tc>
          <w:tcPr>
            <w:tcW w:w="710" w:type="dxa"/>
            <w:shd w:val="pct20" w:color="auto" w:fill="auto"/>
            <w:vAlign w:val="center"/>
          </w:tcPr>
          <w:p w14:paraId="14D8EFCE" w14:textId="77777777" w:rsidR="007E0DCD" w:rsidRPr="00475A42" w:rsidRDefault="007E0DCD" w:rsidP="0079058F">
            <w:pPr>
              <w:pStyle w:val="Akapitzlist"/>
              <w:numPr>
                <w:ilvl w:val="0"/>
                <w:numId w:val="1"/>
              </w:numPr>
              <w:spacing w:before="0"/>
              <w:ind w:left="113" w:firstLine="0"/>
              <w:contextualSpacing w:val="0"/>
              <w:rPr>
                <w:b/>
                <w:bCs/>
                <w:vanish/>
                <w:color w:val="000000" w:themeColor="text1"/>
                <w:sz w:val="20"/>
                <w:szCs w:val="20"/>
              </w:rPr>
            </w:pPr>
          </w:p>
        </w:tc>
      </w:tr>
      <w:tr w:rsidR="007E0DCD" w:rsidRPr="00475A42" w14:paraId="483E2BBF" w14:textId="77777777" w:rsidTr="009648F0">
        <w:trPr>
          <w:cantSplit/>
          <w:trHeight w:val="284"/>
        </w:trPr>
        <w:tc>
          <w:tcPr>
            <w:tcW w:w="710" w:type="dxa"/>
            <w:shd w:val="clear" w:color="auto" w:fill="auto"/>
            <w:vAlign w:val="center"/>
          </w:tcPr>
          <w:p w14:paraId="06C513AC" w14:textId="26B042F3" w:rsidR="007E0DCD" w:rsidRPr="00987454" w:rsidRDefault="00987454" w:rsidP="00987454">
            <w:pPr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05366" w14:textId="16562637" w:rsidR="007E0DCD" w:rsidRPr="00475A42" w:rsidRDefault="007E0DCD" w:rsidP="00DF70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9214" w:type="dxa"/>
            <w:vAlign w:val="center"/>
          </w:tcPr>
          <w:p w14:paraId="28DC4673" w14:textId="0EFE1114" w:rsidR="00F34575" w:rsidRPr="00475A42" w:rsidRDefault="00E07785" w:rsidP="00DF70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Licencja umożliwiająca instalację nieograniczonej liczby systemów Windows Serwer Datacenter </w:t>
            </w:r>
            <w:r w:rsidR="00DF47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serwerze wyposażonym w 64 CPU.</w:t>
            </w:r>
          </w:p>
        </w:tc>
      </w:tr>
      <w:tr w:rsidR="007E0DCD" w:rsidRPr="00475A42" w14:paraId="11A6A3A0" w14:textId="77777777" w:rsidTr="009648F0">
        <w:trPr>
          <w:cantSplit/>
          <w:trHeight w:val="284"/>
        </w:trPr>
        <w:tc>
          <w:tcPr>
            <w:tcW w:w="710" w:type="dxa"/>
            <w:shd w:val="clear" w:color="auto" w:fill="auto"/>
            <w:vAlign w:val="center"/>
          </w:tcPr>
          <w:p w14:paraId="142112AF" w14:textId="3B5DC7AA" w:rsidR="007E0DCD" w:rsidRPr="00987454" w:rsidRDefault="00987454" w:rsidP="00987454">
            <w:pPr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68450" w14:textId="1AFE09CF" w:rsidR="007E0DCD" w:rsidRPr="00475A42" w:rsidRDefault="00F415E5" w:rsidP="007905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</w:t>
            </w:r>
          </w:p>
        </w:tc>
        <w:tc>
          <w:tcPr>
            <w:tcW w:w="9214" w:type="dxa"/>
            <w:vAlign w:val="center"/>
          </w:tcPr>
          <w:p w14:paraId="17353627" w14:textId="77777777" w:rsidR="00DF4740" w:rsidRPr="00987454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Minimalne wymagane funkcjonalności:</w:t>
            </w:r>
          </w:p>
          <w:p w14:paraId="6F6B3601" w14:textId="61036CD0" w:rsidR="00DF4740" w:rsidRPr="00987454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możliwość dokonywania aktualizacji i poprawek systemu przez Internet;</w:t>
            </w:r>
          </w:p>
          <w:p w14:paraId="1C2BEA29" w14:textId="52867C5E" w:rsidR="00DF4740" w:rsidRPr="00987454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wbudowana zapora internetowa (firewall) dla ochrony połączeń internetowych; zintegrowana z systemem konsoli do zarządzania ustawieniami zapory i regułami ip v4 i v6;</w:t>
            </w:r>
          </w:p>
          <w:p w14:paraId="2D687510" w14:textId="77777777" w:rsidR="00DF4740" w:rsidRPr="00987454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możliwość uruchomienia serwera DNS z możliwością integracji z kontrolerem domeny;</w:t>
            </w:r>
          </w:p>
          <w:p w14:paraId="1B5FA322" w14:textId="77777777" w:rsidR="00DF4740" w:rsidRPr="00987454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możliwość uruchomienia usługi DFS zgodnej z min. Windows Server 2008 R2;</w:t>
            </w:r>
          </w:p>
          <w:p w14:paraId="4C782213" w14:textId="12FB0520" w:rsidR="00DF4740" w:rsidRPr="00987454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możliwość uruchomienia serwera usług terminalowych (RemoteApp) zgodnego z min. Windows Server;</w:t>
            </w:r>
          </w:p>
          <w:p w14:paraId="37C006F9" w14:textId="77777777" w:rsidR="00DF4740" w:rsidRPr="00987454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-obsługa zdalnego pulpitu;</w:t>
            </w:r>
          </w:p>
          <w:p w14:paraId="6D35281D" w14:textId="19A1D279" w:rsidR="00DF4740" w:rsidRPr="00987454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obsługa PowerShell;</w:t>
            </w:r>
          </w:p>
          <w:p w14:paraId="2B50D0DB" w14:textId="77777777" w:rsidR="00DF4740" w:rsidRPr="00987454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obsługa certyfikatów w AD;</w:t>
            </w:r>
          </w:p>
          <w:p w14:paraId="679EC880" w14:textId="56691FD3" w:rsidR="007E0DCD" w:rsidRPr="00475A42" w:rsidRDefault="00DF4740" w:rsidP="00DF4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obsługa drzewa katalogowego Microsoft Active Directory.</w:t>
            </w:r>
          </w:p>
        </w:tc>
      </w:tr>
      <w:tr w:rsidR="007E0DCD" w:rsidRPr="00475A42" w14:paraId="42AECB4B" w14:textId="77777777" w:rsidTr="009648F0">
        <w:trPr>
          <w:cantSplit/>
          <w:trHeight w:val="284"/>
        </w:trPr>
        <w:tc>
          <w:tcPr>
            <w:tcW w:w="710" w:type="dxa"/>
            <w:shd w:val="clear" w:color="auto" w:fill="auto"/>
            <w:vAlign w:val="center"/>
          </w:tcPr>
          <w:p w14:paraId="2447F23D" w14:textId="3CA79732" w:rsidR="007E0DCD" w:rsidRPr="00987454" w:rsidRDefault="00987454" w:rsidP="00987454">
            <w:pPr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4E41A" w14:textId="2CDDC881" w:rsidR="007E0DCD" w:rsidRPr="00475A42" w:rsidRDefault="007E0DCD" w:rsidP="00F911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Subskrypcja</w:t>
            </w:r>
          </w:p>
        </w:tc>
        <w:tc>
          <w:tcPr>
            <w:tcW w:w="9214" w:type="dxa"/>
            <w:vAlign w:val="center"/>
          </w:tcPr>
          <w:p w14:paraId="5D4FA065" w14:textId="3606F84C" w:rsidR="007E0DCD" w:rsidRPr="00475A42" w:rsidRDefault="00CF2F78" w:rsidP="00F911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Licencja Wieczysta na 64 CPU</w:t>
            </w:r>
          </w:p>
        </w:tc>
      </w:tr>
      <w:tr w:rsidR="006C7216" w:rsidRPr="00475A42" w14:paraId="5B950117" w14:textId="77777777" w:rsidTr="00987454">
        <w:trPr>
          <w:cantSplit/>
          <w:trHeight w:val="284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C1D3ADA" w14:textId="641717C2" w:rsidR="006C7216" w:rsidRPr="006C7216" w:rsidRDefault="00987454" w:rsidP="00987454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6C7216" w:rsidRPr="006C72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2306EBE9" w14:textId="1B58403D" w:rsidR="006C7216" w:rsidRPr="006C7216" w:rsidRDefault="001B6D11" w:rsidP="006C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B6D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Oprogramowanie Antywirusowe z konsolą zarządzającą</w:t>
            </w:r>
          </w:p>
        </w:tc>
      </w:tr>
      <w:tr w:rsidR="007E0DCD" w:rsidRPr="00475A42" w14:paraId="552C9B37" w14:textId="77777777" w:rsidTr="009648F0">
        <w:trPr>
          <w:gridAfter w:val="2"/>
          <w:wAfter w:w="10773" w:type="dxa"/>
          <w:cantSplit/>
          <w:trHeight w:val="284"/>
          <w:hidden/>
        </w:trPr>
        <w:tc>
          <w:tcPr>
            <w:tcW w:w="710" w:type="dxa"/>
            <w:shd w:val="pct20" w:color="auto" w:fill="auto"/>
            <w:vAlign w:val="center"/>
          </w:tcPr>
          <w:p w14:paraId="46B9C646" w14:textId="77777777" w:rsidR="007E0DCD" w:rsidRPr="00475A42" w:rsidRDefault="007E0DCD" w:rsidP="0079058F">
            <w:pPr>
              <w:pStyle w:val="Akapitzlist"/>
              <w:numPr>
                <w:ilvl w:val="0"/>
                <w:numId w:val="1"/>
              </w:numPr>
              <w:spacing w:before="0"/>
              <w:ind w:left="113" w:firstLine="0"/>
              <w:contextualSpacing w:val="0"/>
              <w:rPr>
                <w:b/>
                <w:bCs/>
                <w:vanish/>
                <w:color w:val="000000" w:themeColor="text1"/>
                <w:sz w:val="20"/>
                <w:szCs w:val="20"/>
              </w:rPr>
            </w:pPr>
            <w:bookmarkStart w:id="1" w:name="_Hlk72759812"/>
          </w:p>
        </w:tc>
      </w:tr>
      <w:bookmarkEnd w:id="1"/>
      <w:tr w:rsidR="007E0DCD" w:rsidRPr="00475A42" w14:paraId="38A190EB" w14:textId="77777777" w:rsidTr="009648F0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2B4B7F3F" w14:textId="2C3D0495" w:rsidR="007E0DCD" w:rsidRPr="00987454" w:rsidRDefault="00987454" w:rsidP="00987454">
            <w:pPr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5D6DCE" w14:textId="49F1A6D6" w:rsidR="007E0DCD" w:rsidRPr="00475A42" w:rsidRDefault="007E0DCD" w:rsidP="00DF70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9214" w:type="dxa"/>
            <w:vAlign w:val="center"/>
          </w:tcPr>
          <w:p w14:paraId="3D4A2A1D" w14:textId="232B8C0A" w:rsidR="009206A9" w:rsidRPr="00475A42" w:rsidRDefault="001B6D11" w:rsidP="009874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6D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ESET Endpoint Security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4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 równoważne</w:t>
            </w:r>
            <w:r w:rsidR="007E0DCD" w:rsidRPr="00201A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licencja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 min. 100 komputerów oraz min. 5 licencji </w:t>
            </w:r>
            <w:r w:rsidRPr="001B6D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ESET Mail Security for Microsoft Exchange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min. 10 licencji </w:t>
            </w:r>
            <w:r w:rsidRPr="001B6D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ESET File Security 7 for Microsoft Windows Server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(dla serwerów Exchange).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34575" w:rsidRPr="00F34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oprogramowanie równoważne w stosunku do oprogramowania wskazanego w SWZ rozumie się takie, które w sposób poprawny współpracuje z posiadanym oprogramowaniem przez Zamawiającego oraz realizuje wszystkie funkcje i posiada wszystkie cechy określone przez producenta posiadanego przez Zamawiającego oprogramowania oraz te opisane w SWZ</w:t>
            </w:r>
            <w:r w:rsid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B6D11" w:rsidRPr="00475A42" w14:paraId="32339285" w14:textId="77777777" w:rsidTr="00987454">
        <w:trPr>
          <w:cantSplit/>
          <w:trHeight w:val="1531"/>
        </w:trPr>
        <w:tc>
          <w:tcPr>
            <w:tcW w:w="710" w:type="dxa"/>
            <w:shd w:val="clear" w:color="auto" w:fill="auto"/>
            <w:vAlign w:val="center"/>
          </w:tcPr>
          <w:p w14:paraId="0DE88265" w14:textId="4FB043E7" w:rsidR="001B6D11" w:rsidRPr="00987454" w:rsidRDefault="00987454" w:rsidP="00987454">
            <w:pPr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F22C0" w14:textId="560851AF" w:rsidR="001B6D11" w:rsidRDefault="001B6D11" w:rsidP="00DF70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</w:t>
            </w:r>
          </w:p>
        </w:tc>
        <w:tc>
          <w:tcPr>
            <w:tcW w:w="9214" w:type="dxa"/>
            <w:vAlign w:val="center"/>
          </w:tcPr>
          <w:p w14:paraId="2A44F339" w14:textId="24E5343B" w:rsidR="009206A9" w:rsidRPr="001B6D11" w:rsidRDefault="001B6D11" w:rsidP="009874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Centralna konsola zarządzania licencjami oraz podłączonymi urządzeniami zapewniająca zdalną instalację/aktualizację oprogramowania antywirusowego. </w:t>
            </w:r>
            <w:r w:rsidR="0094055D" w:rsidRP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Dostęp do chmury wczesnego ostrzegania Live Grid</w:t>
            </w:r>
            <w:r w:rsid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hrona antywirusowa, dwukierunkowy firewall, </w:t>
            </w:r>
            <w:r w:rsidR="0094055D" w:rsidRP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Ochrona antyspyware</w:t>
            </w:r>
            <w:r w:rsid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4055D" w:rsidRP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Ochrona przed spamem</w:t>
            </w:r>
            <w:r w:rsid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4055D" w:rsidRP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Ochrona przed włamaniami działającymi na hoście (HIPS)</w:t>
            </w:r>
            <w:r w:rsid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4055D" w:rsidRP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Zarządzanie dostępem do stron www</w:t>
            </w:r>
            <w:r w:rsid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z</w:t>
            </w:r>
            <w:r w:rsidR="0094055D" w:rsidRP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arządzanie dostępem do firmowego sprzętu</w:t>
            </w:r>
            <w:r w:rsid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4055D" w:rsidRP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Wsparcie dla Microsoft NAP</w:t>
            </w:r>
            <w:r w:rsidR="00940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A1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A14F1" w:rsidRPr="003A1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Ochrona przed atakami bezplikowymi</w:t>
            </w:r>
            <w:r w:rsidR="003A1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E0DCD" w:rsidRPr="00475A42" w14:paraId="670684A4" w14:textId="77777777" w:rsidTr="009648F0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18BF26B7" w14:textId="52D9FC93" w:rsidR="007E0DCD" w:rsidRPr="00987454" w:rsidRDefault="00987454" w:rsidP="00987454">
            <w:pPr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CF239" w14:textId="0E9D178F" w:rsidR="007E0DCD" w:rsidRPr="00475A42" w:rsidRDefault="007E0DCD" w:rsidP="00433B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Subskrypcja</w:t>
            </w:r>
          </w:p>
        </w:tc>
        <w:tc>
          <w:tcPr>
            <w:tcW w:w="9214" w:type="dxa"/>
            <w:vAlign w:val="center"/>
          </w:tcPr>
          <w:p w14:paraId="55257A4E" w14:textId="6EC1C45D" w:rsidR="007E0DCD" w:rsidRPr="00475A42" w:rsidRDefault="00DC024A" w:rsidP="00433B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7E0DCD" w:rsidRPr="0047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n. </w:t>
            </w:r>
            <w:r w:rsidR="00A620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7E0DCD" w:rsidRPr="0047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m-</w:t>
            </w:r>
            <w:r w:rsidR="007E0D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</w:t>
            </w:r>
          </w:p>
        </w:tc>
      </w:tr>
      <w:tr w:rsidR="00F66E0F" w:rsidRPr="00475A42" w14:paraId="16883C6A" w14:textId="77777777" w:rsidTr="00987454">
        <w:trPr>
          <w:cantSplit/>
          <w:trHeight w:val="227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E7AD308" w14:textId="74CABD17" w:rsidR="00F66E0F" w:rsidRPr="00FD1D87" w:rsidRDefault="00987454" w:rsidP="00987454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412DD66F" w14:textId="1C56E8A3" w:rsidR="00F66E0F" w:rsidRPr="00FD1D87" w:rsidRDefault="00337830" w:rsidP="00FD1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78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Microsoft Exchange Server 2019 Standard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D1D87" w:rsidRPr="00FD1D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FD1D87" w:rsidRPr="00FD1D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licencj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 100 USER CAL</w:t>
            </w:r>
            <w:r w:rsidR="00FD1D87" w:rsidRPr="00FD1D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E0DCD" w:rsidRPr="00475A42" w14:paraId="76CD09AE" w14:textId="77777777" w:rsidTr="009648F0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66E01ADB" w14:textId="2DF91829" w:rsidR="007E0DCD" w:rsidRPr="00987454" w:rsidRDefault="00987454" w:rsidP="00987454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34350" w14:textId="49C6A8AE" w:rsidR="007E0DCD" w:rsidRDefault="007E0DCD" w:rsidP="00F234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9214" w:type="dxa"/>
            <w:vAlign w:val="center"/>
          </w:tcPr>
          <w:p w14:paraId="66EA2249" w14:textId="6C6D79A6" w:rsidR="005906DF" w:rsidRPr="00475A42" w:rsidRDefault="00337830" w:rsidP="003378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Server poczty elektronicznej zintegrowany z domeną Active Directory.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licencja na Serwer 100 licencji – dostępów dla użytkowników</w:t>
            </w:r>
          </w:p>
        </w:tc>
      </w:tr>
      <w:tr w:rsidR="00337830" w:rsidRPr="00475A42" w14:paraId="6E7294A9" w14:textId="77777777" w:rsidTr="009648F0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7E66A1AB" w14:textId="0AFE976F" w:rsidR="00337830" w:rsidRPr="00987454" w:rsidRDefault="00987454" w:rsidP="00987454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520EC" w14:textId="5D03A5B1" w:rsidR="00337830" w:rsidRDefault="00337830" w:rsidP="003378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Funkcjonalność</w:t>
            </w:r>
          </w:p>
        </w:tc>
        <w:tc>
          <w:tcPr>
            <w:tcW w:w="9214" w:type="dxa"/>
            <w:vAlign w:val="center"/>
          </w:tcPr>
          <w:p w14:paraId="27C8736D" w14:textId="0F524E4A" w:rsidR="006E0B3C" w:rsidRDefault="003D24CF" w:rsidP="00920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Minimalna funkcjonalność: 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1)odbieranie   i   wysyłanie  poczty  elektronicznej  do  adresatów  wewnętrznych  oraz zewnętrznych; 2)mechanizmy powiadomień o dostarczeniu i przeczytaniu wiadomości przez adresata; 3)tworzenie  i  zarządzanie  osobistymi  kalendarzami,  listami  kontaktów,  zadaniami, notatkami; 4)zarządzanie  strukturą  i  zawartością  skrzynki  pocztowej  samodzielnie  przez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użytkownika  końcowego,  w  tym:  kategoryzacja  treści,  nadawanie  ważności, flagowanie elementów do wykonania wraz z przypisaniem terminu i przypomnienia; 5)wsparcie dla zastosowania podpisu cyfrowego i szyfrowania wiadomości;6)pełne wsparcie dla klienta poczty elektronicznej MS Outlook 201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)możliwość  przypisania  różnych  akcji  dla  adresata  wysyłanej  wiadomości,  np.  do wykonania czy do przeczytania w określonym terminie;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)możliwość określenia terminu wygaśnięcia wiadomości;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)udostępnianie  kalendarzy  osobistych  do  wglądu  i  edycji  innym  użytkownikom, z możliwością definiowania poziomów dostępu;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)podgląd stanu dostępności innych użytkowników w oparciu o ich kalendarze;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)mechanizm planowania spotkań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integracja z MS Teams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)tworzenie i zarządzanie współdzielonymi repozytoriami kontaktów, kalendarzy, zadań;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dostęp  do  całej  skrzynki  odbiorczej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poziomu aplikacji na telefonie 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37830"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 tym  poczty  elektronicznej, kalendarza i listy kontaktów;</w:t>
            </w:r>
          </w:p>
          <w:p w14:paraId="56DCC4B1" w14:textId="77628045" w:rsidR="00337830" w:rsidRPr="00337830" w:rsidRDefault="00337830" w:rsidP="00920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oparcie się o profile użytkowników usługi katalogowej Active Directory;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)wielofunkcyjna konsola administracyjna umożliwiająca zarządzanie systemem poczty oraz dostęp do statystyk i logów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użytkowników;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</w:t>
            </w:r>
            <w:r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)definiowanie kwot na rozmiar skrzynek pocztowych użytkowników, z możliwością ustawiania progu ostrzegawczego poniżej górnego limitu;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)możliwość  definiowania  różnych  limitów  pojemności  skrzynek  dla  różnych  grup użytkowników;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)możliwość  przeniesienia  lokalnych  archiwów  skrzynki  pocztowej  z  komputera  na serwer; </w:t>
            </w:r>
            <w:r w:rsidR="006E0B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)narzędzia  kreowania,  wdrażania  i  zarządzania  politykami  nazewnictwa  grup dystrybucyjnych. </w:t>
            </w:r>
          </w:p>
        </w:tc>
      </w:tr>
      <w:tr w:rsidR="00337830" w:rsidRPr="00475A42" w14:paraId="639ACC8B" w14:textId="77777777" w:rsidTr="009648F0">
        <w:trPr>
          <w:cantSplit/>
          <w:trHeight w:val="323"/>
        </w:trPr>
        <w:tc>
          <w:tcPr>
            <w:tcW w:w="710" w:type="dxa"/>
            <w:shd w:val="clear" w:color="auto" w:fill="auto"/>
            <w:vAlign w:val="center"/>
          </w:tcPr>
          <w:p w14:paraId="18D018C8" w14:textId="1AA460AB" w:rsidR="00337830" w:rsidRPr="00987454" w:rsidRDefault="00987454" w:rsidP="00987454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4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37FB6" w14:textId="2CF5B5D2" w:rsidR="00337830" w:rsidRDefault="00337830" w:rsidP="003378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licencji</w:t>
            </w:r>
          </w:p>
        </w:tc>
        <w:tc>
          <w:tcPr>
            <w:tcW w:w="9214" w:type="dxa"/>
            <w:vAlign w:val="center"/>
          </w:tcPr>
          <w:p w14:paraId="58570E6E" w14:textId="779FAFF4" w:rsidR="00337830" w:rsidRPr="00475A42" w:rsidRDefault="00CF2F78" w:rsidP="003378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3378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ieczysta</w:t>
            </w:r>
          </w:p>
        </w:tc>
      </w:tr>
      <w:tr w:rsidR="00337830" w:rsidRPr="00475A42" w14:paraId="3202779E" w14:textId="77777777" w:rsidTr="00987454">
        <w:trPr>
          <w:cantSplit/>
          <w:trHeight w:val="323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ADAE97D" w14:textId="6175DD8A" w:rsidR="00337830" w:rsidRPr="003B7A8F" w:rsidRDefault="00987454" w:rsidP="00337830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337830" w:rsidRPr="003B7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62FD7F1D" w14:textId="2A0AA657" w:rsidR="00337830" w:rsidRPr="006E0B3C" w:rsidRDefault="006E0B3C" w:rsidP="0033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0B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Microsoft </w:t>
            </w:r>
            <w:r w:rsidR="00B41F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Project</w:t>
            </w:r>
            <w:r w:rsidRPr="006E0B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</w:t>
            </w:r>
            <w:r w:rsidR="00B41F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6C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 licencji</w:t>
            </w:r>
          </w:p>
        </w:tc>
      </w:tr>
      <w:tr w:rsidR="00337830" w:rsidRPr="00475A42" w14:paraId="03ED1028" w14:textId="77777777" w:rsidTr="009648F0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070F57E3" w14:textId="483CB463" w:rsidR="00337830" w:rsidRPr="00D02C02" w:rsidRDefault="00987454" w:rsidP="00337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37830" w:rsidRPr="00D02C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B4719" w14:textId="081ABBC8" w:rsidR="00337830" w:rsidRDefault="00337830" w:rsidP="003378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9214" w:type="dxa"/>
            <w:vAlign w:val="center"/>
          </w:tcPr>
          <w:p w14:paraId="455986BF" w14:textId="2E6CC031" w:rsidR="00B41FC3" w:rsidRDefault="009D6C76" w:rsidP="00B41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Rozszerzenie posiadanych przez Zamawiającego licencji </w:t>
            </w:r>
            <w:r w:rsidRPr="009D6C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Microsoft 365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 dodatkowe 10 licencji w wersji </w:t>
            </w:r>
          </w:p>
          <w:p w14:paraId="2FD38DA8" w14:textId="70F72EC5" w:rsidR="00337830" w:rsidRDefault="00B41FC3" w:rsidP="00B41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Project (Plan 3).</w:t>
            </w:r>
          </w:p>
        </w:tc>
      </w:tr>
      <w:tr w:rsidR="003D24CF" w:rsidRPr="00475A42" w14:paraId="266429F3" w14:textId="77777777" w:rsidTr="009648F0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44FB42AE" w14:textId="67457A89" w:rsidR="003D24CF" w:rsidRPr="00D02C02" w:rsidRDefault="00987454" w:rsidP="003D2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D2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9DE48" w14:textId="75EF46FC" w:rsidR="003D24CF" w:rsidRDefault="003D24CF" w:rsidP="003D2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Funkcjonalność</w:t>
            </w:r>
          </w:p>
        </w:tc>
        <w:tc>
          <w:tcPr>
            <w:tcW w:w="9214" w:type="dxa"/>
            <w:vAlign w:val="center"/>
          </w:tcPr>
          <w:p w14:paraId="25115E87" w14:textId="582C9C57" w:rsidR="003D24CF" w:rsidRPr="007C0C8D" w:rsidRDefault="00B41FC3" w:rsidP="00B41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Project dla sieci Web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41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Usługa Project Online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41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Klient klasyczny usługi Project Online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D24CF" w:rsidRPr="00475A42" w14:paraId="3736FA4C" w14:textId="77777777" w:rsidTr="009648F0">
        <w:trPr>
          <w:cantSplit/>
          <w:trHeight w:val="227"/>
        </w:trPr>
        <w:tc>
          <w:tcPr>
            <w:tcW w:w="710" w:type="dxa"/>
            <w:shd w:val="clear" w:color="auto" w:fill="auto"/>
            <w:vAlign w:val="center"/>
          </w:tcPr>
          <w:p w14:paraId="4EC2B987" w14:textId="569BBC0B" w:rsidR="003D24CF" w:rsidRPr="00D02C02" w:rsidRDefault="00987454" w:rsidP="003D2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D2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44EE8" w14:textId="5EF606ED" w:rsidR="003D24CF" w:rsidRDefault="003D24CF" w:rsidP="003D2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Subskrypcja</w:t>
            </w:r>
          </w:p>
        </w:tc>
        <w:tc>
          <w:tcPr>
            <w:tcW w:w="9214" w:type="dxa"/>
            <w:vAlign w:val="center"/>
          </w:tcPr>
          <w:p w14:paraId="0063CC1D" w14:textId="7E133481" w:rsidR="003D24CF" w:rsidRPr="00201ABB" w:rsidRDefault="003D24CF" w:rsidP="003D2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="009D4F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475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cy </w:t>
            </w:r>
            <w:r w:rsidR="009D6C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dla 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użytkowników</w:t>
            </w:r>
            <w:r w:rsidR="00B41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3DA6540" w14:textId="3958F366" w:rsidR="00883491" w:rsidRPr="00FC4BEA" w:rsidRDefault="00883491" w:rsidP="004C10AC">
      <w:pPr>
        <w:spacing w:after="0" w:line="288" w:lineRule="auto"/>
        <w:ind w:left="6372" w:hanging="637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3491" w:rsidRPr="00FC4BEA" w:rsidSect="009648F0">
      <w:headerReference w:type="default" r:id="rId8"/>
      <w:footerReference w:type="default" r:id="rId9"/>
      <w:pgSz w:w="16838" w:h="11906" w:orient="landscape"/>
      <w:pgMar w:top="1264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226D" w14:textId="77777777" w:rsidR="00F8269C" w:rsidRDefault="00F8269C" w:rsidP="00400B83">
      <w:pPr>
        <w:spacing w:after="0" w:line="240" w:lineRule="auto"/>
      </w:pPr>
      <w:r>
        <w:separator/>
      </w:r>
    </w:p>
  </w:endnote>
  <w:endnote w:type="continuationSeparator" w:id="0">
    <w:p w14:paraId="11A7F492" w14:textId="77777777" w:rsidR="00F8269C" w:rsidRDefault="00F8269C" w:rsidP="0040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519087"/>
      <w:docPartObj>
        <w:docPartGallery w:val="Page Numbers (Bottom of Page)"/>
        <w:docPartUnique/>
      </w:docPartObj>
    </w:sdtPr>
    <w:sdtEndPr/>
    <w:sdtContent>
      <w:p w14:paraId="61E441EC" w14:textId="77777777" w:rsidR="00400B83" w:rsidRDefault="00400B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5D6">
          <w:rPr>
            <w:noProof/>
          </w:rPr>
          <w:t>2</w:t>
        </w:r>
        <w:r>
          <w:fldChar w:fldCharType="end"/>
        </w:r>
      </w:p>
    </w:sdtContent>
  </w:sdt>
  <w:p w14:paraId="0CC1EA4E" w14:textId="77777777" w:rsidR="00400B83" w:rsidRDefault="00400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8508" w14:textId="77777777" w:rsidR="00F8269C" w:rsidRDefault="00F8269C" w:rsidP="00400B83">
      <w:pPr>
        <w:spacing w:after="0" w:line="240" w:lineRule="auto"/>
      </w:pPr>
      <w:r>
        <w:separator/>
      </w:r>
    </w:p>
  </w:footnote>
  <w:footnote w:type="continuationSeparator" w:id="0">
    <w:p w14:paraId="4492B27D" w14:textId="77777777" w:rsidR="00F8269C" w:rsidRDefault="00F8269C" w:rsidP="0040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5C87" w14:textId="4E72EF39" w:rsidR="00400B83" w:rsidRDefault="009648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AB7FF6" wp14:editId="52F428EE">
              <wp:simplePos x="0" y="0"/>
              <wp:positionH relativeFrom="column">
                <wp:posOffset>20320</wp:posOffset>
              </wp:positionH>
              <wp:positionV relativeFrom="paragraph">
                <wp:posOffset>826135</wp:posOffset>
              </wp:positionV>
              <wp:extent cx="925639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639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  <a:prstDash val="lgDash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155E30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65.05pt" to="730.4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" strokecolor="#2e74b5 [2404]" strokeweight=".5pt">
              <v:stroke dashstyle="longDash" joinstyle="miter"/>
            </v:line>
          </w:pict>
        </mc:Fallback>
      </mc:AlternateContent>
    </w:r>
    <w:r>
      <w:rPr>
        <w:noProof/>
      </w:rPr>
      <w:drawing>
        <wp:inline distT="0" distB="0" distL="0" distR="0" wp14:anchorId="3144434F" wp14:editId="22D6FE79">
          <wp:extent cx="1493520" cy="829310"/>
          <wp:effectExtent l="0" t="0" r="0" b="889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988933" w14:textId="44A37958" w:rsidR="002110BE" w:rsidRDefault="00211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276C"/>
    <w:multiLevelType w:val="multilevel"/>
    <w:tmpl w:val="AA7E4B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293365"/>
    <w:multiLevelType w:val="multilevel"/>
    <w:tmpl w:val="09E05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814404"/>
    <w:multiLevelType w:val="hybridMultilevel"/>
    <w:tmpl w:val="B96AB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7"/>
    <w:multiLevelType w:val="multilevel"/>
    <w:tmpl w:val="65FE1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E81621"/>
    <w:multiLevelType w:val="hybridMultilevel"/>
    <w:tmpl w:val="01461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7C45"/>
    <w:multiLevelType w:val="multilevel"/>
    <w:tmpl w:val="B4280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E15CA6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DD51BF"/>
    <w:multiLevelType w:val="hybridMultilevel"/>
    <w:tmpl w:val="541C5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6DA4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509EF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744ACE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5760F2"/>
    <w:multiLevelType w:val="hybridMultilevel"/>
    <w:tmpl w:val="D1A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4219F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C40960"/>
    <w:multiLevelType w:val="hybridMultilevel"/>
    <w:tmpl w:val="E8688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6401E"/>
    <w:multiLevelType w:val="multilevel"/>
    <w:tmpl w:val="298A0A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9F3E17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753B53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746E4A"/>
    <w:multiLevelType w:val="multilevel"/>
    <w:tmpl w:val="298A0A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012894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E47B7A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6F253F"/>
    <w:multiLevelType w:val="multilevel"/>
    <w:tmpl w:val="9D706C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C32E2C"/>
    <w:multiLevelType w:val="multilevel"/>
    <w:tmpl w:val="9D706C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224147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601AD5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8D35FC"/>
    <w:multiLevelType w:val="multilevel"/>
    <w:tmpl w:val="9D706C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9"/>
  </w:num>
  <w:num w:numId="9">
    <w:abstractNumId w:val="8"/>
  </w:num>
  <w:num w:numId="10">
    <w:abstractNumId w:val="16"/>
  </w:num>
  <w:num w:numId="11">
    <w:abstractNumId w:val="10"/>
  </w:num>
  <w:num w:numId="12">
    <w:abstractNumId w:val="18"/>
  </w:num>
  <w:num w:numId="13">
    <w:abstractNumId w:val="12"/>
  </w:num>
  <w:num w:numId="14">
    <w:abstractNumId w:val="6"/>
  </w:num>
  <w:num w:numId="15">
    <w:abstractNumId w:val="15"/>
  </w:num>
  <w:num w:numId="16">
    <w:abstractNumId w:val="0"/>
  </w:num>
  <w:num w:numId="17">
    <w:abstractNumId w:val="22"/>
  </w:num>
  <w:num w:numId="18">
    <w:abstractNumId w:val="5"/>
  </w:num>
  <w:num w:numId="19">
    <w:abstractNumId w:val="23"/>
  </w:num>
  <w:num w:numId="20">
    <w:abstractNumId w:val="17"/>
  </w:num>
  <w:num w:numId="21">
    <w:abstractNumId w:val="14"/>
  </w:num>
  <w:num w:numId="22">
    <w:abstractNumId w:val="21"/>
  </w:num>
  <w:num w:numId="23">
    <w:abstractNumId w:val="24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B6"/>
    <w:rsid w:val="00001654"/>
    <w:rsid w:val="00007432"/>
    <w:rsid w:val="000347C0"/>
    <w:rsid w:val="00042001"/>
    <w:rsid w:val="00055C31"/>
    <w:rsid w:val="000652CE"/>
    <w:rsid w:val="00101462"/>
    <w:rsid w:val="00145C41"/>
    <w:rsid w:val="00190198"/>
    <w:rsid w:val="001B6D11"/>
    <w:rsid w:val="001E07C3"/>
    <w:rsid w:val="001F5A62"/>
    <w:rsid w:val="001F6B26"/>
    <w:rsid w:val="00201ABB"/>
    <w:rsid w:val="002110BE"/>
    <w:rsid w:val="00240B0A"/>
    <w:rsid w:val="002976B7"/>
    <w:rsid w:val="002A09C9"/>
    <w:rsid w:val="00301884"/>
    <w:rsid w:val="00323E4B"/>
    <w:rsid w:val="00337830"/>
    <w:rsid w:val="00390672"/>
    <w:rsid w:val="00394BA2"/>
    <w:rsid w:val="003A14F1"/>
    <w:rsid w:val="003B58C5"/>
    <w:rsid w:val="003B7A8F"/>
    <w:rsid w:val="003D24CF"/>
    <w:rsid w:val="003E398C"/>
    <w:rsid w:val="00400B83"/>
    <w:rsid w:val="00410348"/>
    <w:rsid w:val="00433BB7"/>
    <w:rsid w:val="004412D2"/>
    <w:rsid w:val="00466AB6"/>
    <w:rsid w:val="00475A42"/>
    <w:rsid w:val="004C10AC"/>
    <w:rsid w:val="004C75D6"/>
    <w:rsid w:val="004E417B"/>
    <w:rsid w:val="004F3E51"/>
    <w:rsid w:val="00575F4D"/>
    <w:rsid w:val="0059061A"/>
    <w:rsid w:val="005906DF"/>
    <w:rsid w:val="00591C55"/>
    <w:rsid w:val="005973AB"/>
    <w:rsid w:val="005D0B86"/>
    <w:rsid w:val="005D16F7"/>
    <w:rsid w:val="00616535"/>
    <w:rsid w:val="00655191"/>
    <w:rsid w:val="006769AF"/>
    <w:rsid w:val="00677EA4"/>
    <w:rsid w:val="006800FC"/>
    <w:rsid w:val="006A1460"/>
    <w:rsid w:val="006C7216"/>
    <w:rsid w:val="006D0828"/>
    <w:rsid w:val="006E0B3C"/>
    <w:rsid w:val="006E454F"/>
    <w:rsid w:val="00703D7F"/>
    <w:rsid w:val="00733993"/>
    <w:rsid w:val="007512AB"/>
    <w:rsid w:val="00751AA0"/>
    <w:rsid w:val="00757E91"/>
    <w:rsid w:val="00767EAD"/>
    <w:rsid w:val="0079058F"/>
    <w:rsid w:val="007B2074"/>
    <w:rsid w:val="007B589B"/>
    <w:rsid w:val="007C0C8D"/>
    <w:rsid w:val="007D2CC0"/>
    <w:rsid w:val="007D7305"/>
    <w:rsid w:val="007E0DCD"/>
    <w:rsid w:val="007F1EE1"/>
    <w:rsid w:val="00883491"/>
    <w:rsid w:val="008D5CF1"/>
    <w:rsid w:val="00903E89"/>
    <w:rsid w:val="009206A9"/>
    <w:rsid w:val="009348CE"/>
    <w:rsid w:val="0094055D"/>
    <w:rsid w:val="009648F0"/>
    <w:rsid w:val="00974547"/>
    <w:rsid w:val="00983264"/>
    <w:rsid w:val="00987454"/>
    <w:rsid w:val="00991F2B"/>
    <w:rsid w:val="009A2322"/>
    <w:rsid w:val="009B299F"/>
    <w:rsid w:val="009B51C8"/>
    <w:rsid w:val="009D4FDB"/>
    <w:rsid w:val="009D6C76"/>
    <w:rsid w:val="009E33A0"/>
    <w:rsid w:val="00A04D2D"/>
    <w:rsid w:val="00A62040"/>
    <w:rsid w:val="00AF7E16"/>
    <w:rsid w:val="00B216EA"/>
    <w:rsid w:val="00B41FC3"/>
    <w:rsid w:val="00B43A90"/>
    <w:rsid w:val="00B56E4C"/>
    <w:rsid w:val="00B9539B"/>
    <w:rsid w:val="00BC0A24"/>
    <w:rsid w:val="00C57D5D"/>
    <w:rsid w:val="00C67543"/>
    <w:rsid w:val="00C8011E"/>
    <w:rsid w:val="00CD61A9"/>
    <w:rsid w:val="00CF2F78"/>
    <w:rsid w:val="00CF2FCA"/>
    <w:rsid w:val="00D02C02"/>
    <w:rsid w:val="00D1081D"/>
    <w:rsid w:val="00D25145"/>
    <w:rsid w:val="00D53146"/>
    <w:rsid w:val="00D67290"/>
    <w:rsid w:val="00D871E2"/>
    <w:rsid w:val="00D948B4"/>
    <w:rsid w:val="00DA70E9"/>
    <w:rsid w:val="00DC024A"/>
    <w:rsid w:val="00DC1ACB"/>
    <w:rsid w:val="00DF4740"/>
    <w:rsid w:val="00DF709A"/>
    <w:rsid w:val="00E0218F"/>
    <w:rsid w:val="00E07785"/>
    <w:rsid w:val="00E37041"/>
    <w:rsid w:val="00E379ED"/>
    <w:rsid w:val="00E4530B"/>
    <w:rsid w:val="00E533D0"/>
    <w:rsid w:val="00E56562"/>
    <w:rsid w:val="00E631E4"/>
    <w:rsid w:val="00EC7BAE"/>
    <w:rsid w:val="00F07F4D"/>
    <w:rsid w:val="00F2344C"/>
    <w:rsid w:val="00F255E3"/>
    <w:rsid w:val="00F3277A"/>
    <w:rsid w:val="00F34575"/>
    <w:rsid w:val="00F36D5D"/>
    <w:rsid w:val="00F415E5"/>
    <w:rsid w:val="00F6113D"/>
    <w:rsid w:val="00F66E0F"/>
    <w:rsid w:val="00F8269C"/>
    <w:rsid w:val="00F911AD"/>
    <w:rsid w:val="00F969AC"/>
    <w:rsid w:val="00FA0C79"/>
    <w:rsid w:val="00FA56D1"/>
    <w:rsid w:val="00FC4BEA"/>
    <w:rsid w:val="00FD1D87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4CE3E"/>
  <w15:chartTrackingRefBased/>
  <w15:docId w15:val="{ECA1CD36-3332-4B17-846F-8EE4317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672"/>
    <w:pPr>
      <w:spacing w:before="120"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83"/>
  </w:style>
  <w:style w:type="paragraph" w:styleId="Stopka">
    <w:name w:val="footer"/>
    <w:basedOn w:val="Normalny"/>
    <w:link w:val="Stopka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83"/>
  </w:style>
  <w:style w:type="paragraph" w:styleId="Tekstdymka">
    <w:name w:val="Balloon Text"/>
    <w:basedOn w:val="Normalny"/>
    <w:link w:val="TekstdymkaZnak"/>
    <w:uiPriority w:val="99"/>
    <w:semiHidden/>
    <w:unhideWhenUsed/>
    <w:rsid w:val="00F3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2921-1DCB-43A4-909E-54BCBB8F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3</cp:revision>
  <dcterms:created xsi:type="dcterms:W3CDTF">2021-10-06T14:45:00Z</dcterms:created>
  <dcterms:modified xsi:type="dcterms:W3CDTF">2021-10-06T14:51:00Z</dcterms:modified>
</cp:coreProperties>
</file>