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7F6628" w:rsidRDefault="009C487B" w:rsidP="007F6628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</w:t>
      </w:r>
      <w:r w:rsidR="000E4F01">
        <w:rPr>
          <w:rFonts w:ascii="Cambria" w:hAnsi="Cambria"/>
          <w:b/>
          <w:sz w:val="20"/>
          <w:szCs w:val="20"/>
          <w:lang w:eastAsia="zh-CN"/>
        </w:rPr>
        <w:t>U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-</w:t>
      </w:r>
      <w:r w:rsidR="000E4F01">
        <w:rPr>
          <w:rFonts w:ascii="Cambria" w:hAnsi="Cambria"/>
          <w:b/>
          <w:sz w:val="20"/>
          <w:szCs w:val="20"/>
          <w:lang w:eastAsia="zh-CN"/>
        </w:rPr>
        <w:t>91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4458C8" w:rsidRPr="004458C8" w:rsidRDefault="00722F0E" w:rsidP="007F6628">
      <w:pPr>
        <w:spacing w:before="240"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7F662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..............</w:t>
      </w:r>
      <w:r w:rsidR="007F662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7F6628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</w:t>
      </w:r>
      <w:r w:rsidRPr="004458C8">
        <w:rPr>
          <w:rFonts w:ascii="Cambria" w:hAnsi="Cambria"/>
          <w:b/>
          <w:sz w:val="20"/>
          <w:szCs w:val="20"/>
          <w:lang w:val="en-GB"/>
        </w:rPr>
        <w:t>..........</w:t>
      </w:r>
      <w:r w:rsidR="007F6628">
        <w:rPr>
          <w:rFonts w:ascii="Cambria" w:hAnsi="Cambria"/>
          <w:b/>
          <w:sz w:val="20"/>
          <w:szCs w:val="20"/>
          <w:lang w:val="en-GB"/>
        </w:rPr>
        <w:t>.........</w:t>
      </w:r>
      <w:r w:rsidRPr="004458C8">
        <w:rPr>
          <w:rFonts w:ascii="Cambria" w:hAnsi="Cambria"/>
          <w:b/>
          <w:sz w:val="20"/>
          <w:szCs w:val="20"/>
          <w:lang w:val="en-GB"/>
        </w:rPr>
        <w:t>.…………………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781969" w:rsidRDefault="00722F0E" w:rsidP="00BF26E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81969">
        <w:rPr>
          <w:rFonts w:ascii="Cambria" w:hAnsi="Cambria"/>
          <w:b/>
          <w:bCs/>
          <w:sz w:val="20"/>
          <w:szCs w:val="20"/>
        </w:rPr>
        <w:t>INFORMACJA O WIELKOŚCI PRZEDSIĘBIORSTWA</w:t>
      </w:r>
      <w:bookmarkStart w:id="0" w:name="_Hlk76642573"/>
      <w:r w:rsidRPr="00781969">
        <w:rPr>
          <w:rFonts w:ascii="Cambria" w:hAnsi="Cambria"/>
          <w:b/>
          <w:bCs/>
          <w:sz w:val="20"/>
          <w:szCs w:val="20"/>
          <w:vertAlign w:val="superscript"/>
        </w:rPr>
        <w:footnoteReference w:id="1"/>
      </w:r>
      <w:r w:rsidRPr="00781969">
        <w:rPr>
          <w:rFonts w:ascii="Cambria" w:hAnsi="Cambria"/>
          <w:b/>
          <w:bCs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781969">
        <w:rPr>
          <w:rFonts w:ascii="Cambria" w:hAnsi="Cambria"/>
          <w:bCs/>
          <w:sz w:val="20"/>
          <w:szCs w:val="20"/>
        </w:rPr>
        <w:t xml:space="preserve">przetargu nieograniczonego </w:t>
      </w:r>
      <w:r w:rsidRPr="004458C8">
        <w:rPr>
          <w:rFonts w:ascii="Cambria" w:hAnsi="Cambria"/>
          <w:bCs/>
          <w:sz w:val="20"/>
          <w:szCs w:val="20"/>
        </w:rPr>
        <w:t>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781969" w:rsidRPr="00781969">
        <w:rPr>
          <w:rFonts w:ascii="Cambria" w:hAnsi="Cambria"/>
          <w:b/>
          <w:bCs/>
          <w:sz w:val="20"/>
          <w:szCs w:val="20"/>
        </w:rPr>
        <w:t>Przebudowa Domu Studenckiego nr 1 Politechniki Lubelskiej w ramach dostosowania do nowelizacji przepisów przeciwpożarowych i podniesienia standardu w pokojach mieszkalnych</w:t>
      </w:r>
      <w:r w:rsidR="009E07CA" w:rsidRPr="00781969">
        <w:rPr>
          <w:rFonts w:ascii="Cambria" w:hAnsi="Cambria"/>
          <w:b/>
          <w:bCs/>
          <w:sz w:val="20"/>
          <w:szCs w:val="20"/>
        </w:rPr>
        <w:t>,</w:t>
      </w:r>
      <w:r w:rsidRPr="00781969">
        <w:rPr>
          <w:rFonts w:ascii="Cambria" w:hAnsi="Cambria"/>
          <w:b/>
          <w:bCs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4563E6">
      <w:pPr>
        <w:numPr>
          <w:ilvl w:val="0"/>
          <w:numId w:val="5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5E493A" w:rsidRPr="005E493A" w:rsidRDefault="004458C8" w:rsidP="004563E6">
      <w:pPr>
        <w:numPr>
          <w:ilvl w:val="0"/>
          <w:numId w:val="6"/>
        </w:numPr>
        <w:spacing w:before="120" w:after="120" w:line="360" w:lineRule="auto"/>
        <w:ind w:left="568" w:hanging="284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>……………………………………………….….. zł</w:t>
      </w:r>
      <w:r w:rsidR="005E493A">
        <w:rPr>
          <w:rFonts w:ascii="Cambria" w:hAnsi="Cambria"/>
          <w:sz w:val="20"/>
          <w:szCs w:val="20"/>
        </w:rPr>
        <w:t xml:space="preserve"> </w:t>
      </w:r>
      <w:r w:rsidR="0087356E" w:rsidRPr="005E493A">
        <w:rPr>
          <w:rFonts w:ascii="Cambria" w:hAnsi="Cambria"/>
          <w:sz w:val="20"/>
          <w:szCs w:val="20"/>
        </w:rPr>
        <w:t>(</w:t>
      </w:r>
      <w:r w:rsidR="0087356E" w:rsidRPr="005E493A">
        <w:rPr>
          <w:rFonts w:ascii="Cambria" w:hAnsi="Cambria"/>
          <w:i/>
          <w:sz w:val="20"/>
          <w:szCs w:val="20"/>
        </w:rPr>
        <w:t>słownie:</w:t>
      </w:r>
      <w:r w:rsidR="0087356E" w:rsidRPr="005E493A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5E493A">
        <w:rPr>
          <w:rFonts w:ascii="Cambria" w:hAnsi="Cambria"/>
          <w:sz w:val="20"/>
          <w:szCs w:val="20"/>
        </w:rPr>
        <w:t>.</w:t>
      </w:r>
      <w:r w:rsidR="0087356E" w:rsidRPr="005E493A">
        <w:rPr>
          <w:rFonts w:ascii="Cambria" w:hAnsi="Cambria"/>
          <w:sz w:val="20"/>
          <w:szCs w:val="20"/>
        </w:rPr>
        <w:t xml:space="preserve"> zł</w:t>
      </w:r>
    </w:p>
    <w:p w:rsidR="0083174F" w:rsidRDefault="0087356E" w:rsidP="004563E6">
      <w:pPr>
        <w:numPr>
          <w:ilvl w:val="0"/>
          <w:numId w:val="6"/>
        </w:numPr>
        <w:spacing w:before="60" w:line="360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</w:t>
      </w:r>
    </w:p>
    <w:p w:rsidR="00497E72" w:rsidRDefault="00497E72" w:rsidP="007F6628">
      <w:pPr>
        <w:spacing w:before="60" w:line="360" w:lineRule="auto"/>
        <w:ind w:left="567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</w:t>
      </w:r>
      <w:r w:rsidR="0087356E" w:rsidRPr="004458C8">
        <w:rPr>
          <w:rFonts w:ascii="Cambria" w:hAnsi="Cambria"/>
          <w:b/>
          <w:sz w:val="20"/>
          <w:szCs w:val="20"/>
        </w:rPr>
        <w:t xml:space="preserve"> </w:t>
      </w:r>
      <w:r w:rsidR="00781969">
        <w:rPr>
          <w:rFonts w:ascii="Cambria" w:hAnsi="Cambria"/>
          <w:b/>
          <w:sz w:val="20"/>
          <w:szCs w:val="20"/>
        </w:rPr>
        <w:t>lat</w:t>
      </w:r>
      <w:r w:rsidR="00A27085">
        <w:rPr>
          <w:rFonts w:ascii="Cambria" w:hAnsi="Cambria"/>
          <w:b/>
          <w:sz w:val="20"/>
          <w:szCs w:val="20"/>
        </w:rPr>
        <w:t xml:space="preserve"> </w:t>
      </w:r>
      <w:r w:rsidR="00A27085" w:rsidRPr="00781969">
        <w:rPr>
          <w:rFonts w:ascii="Cambria" w:hAnsi="Cambria"/>
          <w:sz w:val="20"/>
          <w:szCs w:val="20"/>
        </w:rPr>
        <w:t xml:space="preserve">(dopuszczalny zakres: </w:t>
      </w:r>
      <w:r w:rsidR="00781969" w:rsidRPr="00781969">
        <w:rPr>
          <w:rFonts w:ascii="Cambria" w:hAnsi="Cambria"/>
          <w:sz w:val="20"/>
          <w:szCs w:val="20"/>
        </w:rPr>
        <w:t>3/4/5/6</w:t>
      </w:r>
      <w:r w:rsidR="0083174F" w:rsidRPr="00781969">
        <w:rPr>
          <w:rFonts w:ascii="Cambria" w:hAnsi="Cambria"/>
          <w:sz w:val="20"/>
          <w:szCs w:val="20"/>
        </w:rPr>
        <w:t xml:space="preserve"> </w:t>
      </w:r>
      <w:r w:rsidR="00282B8C">
        <w:rPr>
          <w:rFonts w:ascii="Cambria" w:hAnsi="Cambria"/>
          <w:sz w:val="20"/>
          <w:szCs w:val="20"/>
        </w:rPr>
        <w:t>lat</w:t>
      </w:r>
      <w:r w:rsidR="005E493A" w:rsidRPr="00781969">
        <w:rPr>
          <w:rStyle w:val="Odwoanieprzypisudolnego"/>
          <w:rFonts w:ascii="Cambria" w:hAnsi="Cambria"/>
          <w:i/>
          <w:sz w:val="20"/>
          <w:szCs w:val="20"/>
        </w:rPr>
        <w:footnoteReference w:id="2"/>
      </w:r>
      <w:r w:rsidR="00A27085" w:rsidRPr="00781969">
        <w:rPr>
          <w:rFonts w:ascii="Cambria" w:hAnsi="Cambria"/>
          <w:i/>
          <w:sz w:val="20"/>
          <w:szCs w:val="20"/>
        </w:rPr>
        <w:t>)</w:t>
      </w:r>
      <w:r w:rsidR="0087356E" w:rsidRPr="00781969">
        <w:rPr>
          <w:rFonts w:ascii="Cambria" w:hAnsi="Cambria"/>
          <w:sz w:val="20"/>
          <w:szCs w:val="20"/>
        </w:rPr>
        <w:t>, począwszy od terminu odbioru końcowego.</w:t>
      </w:r>
    </w:p>
    <w:p w:rsidR="0083174F" w:rsidRDefault="0083174F" w:rsidP="004563E6">
      <w:pPr>
        <w:numPr>
          <w:ilvl w:val="0"/>
          <w:numId w:val="6"/>
        </w:numPr>
        <w:spacing w:before="6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  <w:u w:val="single"/>
        </w:rPr>
        <w:t xml:space="preserve">Gwarancja na </w:t>
      </w:r>
      <w:r w:rsidR="00781969" w:rsidRPr="00781969">
        <w:rPr>
          <w:rFonts w:ascii="Cambria" w:hAnsi="Cambria"/>
          <w:b/>
          <w:sz w:val="20"/>
          <w:szCs w:val="20"/>
          <w:u w:val="single"/>
        </w:rPr>
        <w:t>oprawy oświetleniowe</w:t>
      </w:r>
      <w:r w:rsidR="00384806" w:rsidRPr="00384806">
        <w:rPr>
          <w:rFonts w:ascii="Cambria" w:hAnsi="Cambria"/>
          <w:b/>
          <w:sz w:val="20"/>
          <w:szCs w:val="20"/>
          <w:u w:val="single"/>
          <w:vertAlign w:val="superscript"/>
        </w:rPr>
        <w:t>1</w:t>
      </w:r>
      <w:r w:rsidR="00384806">
        <w:rPr>
          <w:rFonts w:ascii="Cambria" w:hAnsi="Cambria"/>
          <w:b/>
          <w:sz w:val="20"/>
          <w:szCs w:val="20"/>
          <w:u w:val="single"/>
          <w:vertAlign w:val="superscript"/>
        </w:rPr>
        <w:t>,</w:t>
      </w:r>
      <w:r w:rsidR="00384806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3"/>
      </w:r>
      <w:r>
        <w:rPr>
          <w:rFonts w:ascii="Cambria" w:hAnsi="Cambria"/>
          <w:b/>
          <w:sz w:val="20"/>
          <w:szCs w:val="20"/>
          <w:u w:val="single"/>
        </w:rPr>
        <w:t>:</w:t>
      </w:r>
    </w:p>
    <w:p w:rsidR="00781969" w:rsidRPr="00781969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ascii="Cambria" w:hAnsi="Cambria"/>
          <w:sz w:val="20"/>
          <w:szCs w:val="20"/>
        </w:rPr>
        <w:t xml:space="preserve">…. </w:t>
      </w:r>
      <w:r w:rsidR="00781969" w:rsidRPr="00781969">
        <w:rPr>
          <w:rFonts w:ascii="Cambria" w:hAnsi="Cambria"/>
          <w:sz w:val="20"/>
          <w:szCs w:val="20"/>
        </w:rPr>
        <w:t xml:space="preserve">lat </w:t>
      </w:r>
      <w:r>
        <w:rPr>
          <w:rFonts w:ascii="Cambria" w:hAnsi="Cambria"/>
          <w:sz w:val="20"/>
          <w:szCs w:val="20"/>
        </w:rPr>
        <w:t xml:space="preserve"> (3 – 6 lat jak gwarancja ogólna)</w:t>
      </w:r>
    </w:p>
    <w:p w:rsidR="00781969" w:rsidRPr="00781969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="00781969" w:rsidRPr="00781969">
        <w:rPr>
          <w:rFonts w:ascii="Cambria" w:hAnsi="Cambria"/>
          <w:sz w:val="20"/>
          <w:szCs w:val="20"/>
        </w:rPr>
        <w:t xml:space="preserve">7 lat </w:t>
      </w:r>
    </w:p>
    <w:p w:rsidR="00781969" w:rsidRPr="00384806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="00781969" w:rsidRPr="00781969">
        <w:rPr>
          <w:rFonts w:ascii="Cambria" w:hAnsi="Cambria"/>
          <w:sz w:val="20"/>
          <w:szCs w:val="20"/>
        </w:rPr>
        <w:t xml:space="preserve">8 lat </w:t>
      </w:r>
    </w:p>
    <w:p w:rsidR="00781969" w:rsidRDefault="00781969" w:rsidP="004563E6">
      <w:pPr>
        <w:numPr>
          <w:ilvl w:val="0"/>
          <w:numId w:val="6"/>
        </w:numPr>
        <w:spacing w:before="6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781969">
        <w:rPr>
          <w:rFonts w:ascii="Cambria" w:hAnsi="Cambria"/>
          <w:b/>
          <w:sz w:val="20"/>
          <w:szCs w:val="20"/>
          <w:u w:val="single"/>
        </w:rPr>
        <w:t>Czas reakcji na zgłoszenie przez Zamawiającego usterki gwarancyjnej</w:t>
      </w:r>
      <w:r w:rsidR="00384806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384806">
        <w:rPr>
          <w:rFonts w:ascii="Cambria" w:hAnsi="Cambria"/>
          <w:b/>
          <w:sz w:val="20"/>
          <w:szCs w:val="20"/>
          <w:u w:val="single"/>
          <w:vertAlign w:val="superscript"/>
        </w:rPr>
        <w:t>1,</w:t>
      </w:r>
      <w:r w:rsidR="00384806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4"/>
      </w:r>
      <w:r w:rsidR="00384806">
        <w:rPr>
          <w:rFonts w:ascii="Cambria" w:hAnsi="Cambria"/>
          <w:b/>
          <w:sz w:val="20"/>
          <w:szCs w:val="20"/>
          <w:u w:val="single"/>
        </w:rPr>
        <w:t>: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 w:rsidRPr="00384806">
        <w:rPr>
          <w:rFonts w:ascii="Cambria" w:hAnsi="Cambria"/>
          <w:sz w:val="20"/>
          <w:szCs w:val="20"/>
        </w:rPr>
        <w:t>Czas reakcji powyżej 120 h (nie dłużej jak 14 dni) – 0 pkt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120 h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96 h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72 h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48 h</w:t>
      </w:r>
    </w:p>
    <w:p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A21DAA">
        <w:rPr>
          <w:rFonts w:cs="Cambria"/>
          <w:b/>
          <w:sz w:val="16"/>
          <w:szCs w:val="16"/>
          <w:lang w:eastAsia="zh-CN"/>
        </w:rPr>
      </w:r>
      <w:r w:rsidR="00A21DAA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 xml:space="preserve">24 h </w:t>
      </w:r>
    </w:p>
    <w:p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>ci</w:t>
      </w:r>
      <w:r w:rsidR="00016D55">
        <w:rPr>
          <w:rFonts w:ascii="Cambria" w:hAnsi="Cambria"/>
          <w:sz w:val="20"/>
          <w:szCs w:val="20"/>
        </w:rPr>
        <w:t>.</w:t>
      </w:r>
    </w:p>
    <w:p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5E493A">
        <w:rPr>
          <w:rFonts w:ascii="Cambria" w:hAnsi="Cambria"/>
          <w:sz w:val="20"/>
          <w:szCs w:val="20"/>
        </w:rPr>
        <w:t xml:space="preserve">dokumentację techniczną </w:t>
      </w:r>
      <w:r w:rsidRPr="004458C8">
        <w:rPr>
          <w:rFonts w:ascii="Cambria" w:hAnsi="Cambria"/>
          <w:sz w:val="20"/>
          <w:szCs w:val="20"/>
        </w:rPr>
        <w:t>stanowiąc</w:t>
      </w:r>
      <w:r w:rsidR="0083174F">
        <w:rPr>
          <w:rFonts w:ascii="Cambria" w:hAnsi="Cambria"/>
          <w:sz w:val="20"/>
          <w:szCs w:val="20"/>
        </w:rPr>
        <w:t>ą</w:t>
      </w:r>
      <w:r w:rsidRPr="004458C8">
        <w:rPr>
          <w:rFonts w:ascii="Cambria" w:hAnsi="Cambria"/>
          <w:sz w:val="20"/>
          <w:szCs w:val="20"/>
        </w:rPr>
        <w:t xml:space="preserve">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4563E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4563E6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563E6">
      <w:pPr>
        <w:numPr>
          <w:ilvl w:val="0"/>
          <w:numId w:val="2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Informujemy, iż </w:t>
      </w:r>
      <w:r w:rsidR="004D7D6C">
        <w:rPr>
          <w:rFonts w:ascii="Cambria" w:hAnsi="Cambria"/>
          <w:sz w:val="20"/>
          <w:szCs w:val="20"/>
        </w:rPr>
        <w:t>c</w:t>
      </w:r>
      <w:r w:rsidRPr="004458C8">
        <w:rPr>
          <w:rFonts w:ascii="Cambria" w:hAnsi="Cambria"/>
          <w:sz w:val="20"/>
          <w:szCs w:val="20"/>
        </w:rPr>
        <w:t>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</w:t>
      </w:r>
      <w:r w:rsidR="00D37935">
        <w:rPr>
          <w:rFonts w:ascii="Cambria" w:hAnsi="Cambria"/>
          <w:sz w:val="20"/>
          <w:szCs w:val="20"/>
        </w:rPr>
        <w:t xml:space="preserve"> </w:t>
      </w:r>
      <w:r w:rsidR="00D37935" w:rsidRPr="00D37935">
        <w:rPr>
          <w:rFonts w:ascii="Cambria" w:hAnsi="Cambria"/>
          <w:sz w:val="20"/>
          <w:szCs w:val="20"/>
          <w:vertAlign w:val="superscript"/>
        </w:rPr>
        <w:t>(jeśli dotyczy)</w:t>
      </w:r>
      <w:r w:rsidRPr="00D37935">
        <w:rPr>
          <w:rFonts w:ascii="Cambria" w:hAnsi="Cambria"/>
          <w:sz w:val="20"/>
          <w:szCs w:val="20"/>
        </w:rPr>
        <w:t>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64"/>
        <w:gridCol w:w="3821"/>
        <w:gridCol w:w="3616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F67158" w:rsidP="004563E6">
      <w:pPr>
        <w:numPr>
          <w:ilvl w:val="0"/>
          <w:numId w:val="3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F5667">
        <w:rPr>
          <w:rFonts w:ascii="Cambria" w:hAnsi="Cambria"/>
          <w:sz w:val="20"/>
          <w:szCs w:val="20"/>
        </w:rPr>
        <w:t>Uważamy się za związanych niniejszą ofertą zgodnie z terminem określonym w SWZ.</w:t>
      </w:r>
    </w:p>
    <w:p w:rsidR="0087356E" w:rsidRPr="004458C8" w:rsidRDefault="0087356E" w:rsidP="004563E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4563E6">
      <w:pPr>
        <w:pStyle w:val="NormalnyWeb"/>
        <w:numPr>
          <w:ilvl w:val="0"/>
          <w:numId w:val="3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174F" w:rsidRDefault="0087356E" w:rsidP="004563E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3174F" w:rsidRPr="0083174F" w:rsidRDefault="0083174F" w:rsidP="005F5667">
      <w:pPr>
        <w:numPr>
          <w:ilvl w:val="0"/>
          <w:numId w:val="3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</w:t>
      </w:r>
      <w:bookmarkStart w:id="1" w:name="_GoBack"/>
      <w:bookmarkEnd w:id="1"/>
      <w:r w:rsidRPr="0083174F">
        <w:rPr>
          <w:rFonts w:ascii="Cambria" w:hAnsi="Cambria"/>
          <w:sz w:val="20"/>
          <w:szCs w:val="20"/>
        </w:rPr>
        <w:t>h dokumentów stanowią  następujące pozycje:</w:t>
      </w:r>
    </w:p>
    <w:p w:rsidR="004D7D6C" w:rsidRDefault="004D7D6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JEDZ</w:t>
      </w:r>
    </w:p>
    <w:p w:rsidR="004D7D6C" w:rsidRPr="004D7D6C" w:rsidRDefault="004D7D6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 w:rsidRPr="004D7D6C">
        <w:rPr>
          <w:rFonts w:cs="Calibri"/>
          <w:b/>
          <w:sz w:val="20"/>
          <w:szCs w:val="20"/>
        </w:rPr>
        <w:t>aktualne na dzień składania ofert oświadczenie o niepodleganiu wykluczenia z postępowania</w:t>
      </w:r>
      <w:r>
        <w:rPr>
          <w:rFonts w:cs="Calibri"/>
          <w:b/>
          <w:sz w:val="20"/>
          <w:szCs w:val="20"/>
        </w:rPr>
        <w:t xml:space="preserve"> </w:t>
      </w:r>
      <w:r w:rsidRPr="004D7D6C">
        <w:rPr>
          <w:rFonts w:cs="Calibri"/>
          <w:b/>
          <w:sz w:val="20"/>
          <w:szCs w:val="20"/>
        </w:rPr>
        <w:t>na podstawie art. 5k rozporządzenia Rady (UE) nr 833/2014 z dnia 31 lipca 2014 r. dotyczącego środków ograniczających w związku z działaniami Rosji destabilizującymi sytuację na Ukrainie</w:t>
      </w:r>
      <w:r w:rsidRPr="004D7D6C">
        <w:rPr>
          <w:rFonts w:cs="Calibri"/>
          <w:sz w:val="20"/>
          <w:szCs w:val="20"/>
        </w:rPr>
        <w:t>, oraz</w:t>
      </w:r>
      <w:r w:rsidRPr="004D7D6C">
        <w:rPr>
          <w:rFonts w:cs="Calibri"/>
          <w:b/>
          <w:sz w:val="20"/>
          <w:szCs w:val="20"/>
        </w:rPr>
        <w:t xml:space="preserve"> o niepodleganiu wykluczenia z postępowania na podstawie art. 7 ust. 1 ustawy o szczególnych rozwiązaniach w zakresie przeciwdziałania wspieraniu agresji na Ukrainę oraz służących ochronie bezpieczeństwa narodowego (wg załącznika nr 10 do SWZ).</w:t>
      </w:r>
    </w:p>
    <w:p w:rsidR="0083174F" w:rsidRPr="0083174F" w:rsidRDefault="0083174F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eastAsia="Calibri" w:hAnsi="Cambria" w:cs="Calibri"/>
          <w:b/>
          <w:bCs/>
          <w:sz w:val="20"/>
          <w:szCs w:val="20"/>
        </w:rPr>
        <w:t>Dowód wniesienia wadium</w:t>
      </w:r>
    </w:p>
    <w:p w:rsidR="007F6628" w:rsidRDefault="007F6628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>
        <w:rPr>
          <w:rFonts w:ascii="Cambria" w:hAnsi="Cambria"/>
          <w:bCs/>
          <w:i/>
          <w:sz w:val="16"/>
          <w:szCs w:val="16"/>
          <w:lang w:val="pl-PL"/>
        </w:rPr>
        <w:t>……………………………………………………………….</w:t>
      </w:r>
    </w:p>
    <w:p w:rsidR="00ED5453" w:rsidRPr="004D7D6C" w:rsidRDefault="004D7D6C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4D7D6C">
        <w:rPr>
          <w:rFonts w:ascii="Cambria" w:hAnsi="Cambria"/>
          <w:bCs/>
          <w:i/>
          <w:sz w:val="16"/>
          <w:szCs w:val="16"/>
        </w:rPr>
        <w:t>Podpis kwalifikowany</w:t>
      </w:r>
    </w:p>
    <w:sectPr w:rsidR="00ED5453" w:rsidRPr="004D7D6C" w:rsidSect="004D7D6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AA" w:rsidRDefault="00A21DAA">
      <w:r>
        <w:separator/>
      </w:r>
    </w:p>
  </w:endnote>
  <w:endnote w:type="continuationSeparator" w:id="0">
    <w:p w:rsidR="00A21DAA" w:rsidRDefault="00A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Pr="007F6628" w:rsidRDefault="009C487B" w:rsidP="007F6628">
    <w:pPr>
      <w:pStyle w:val="Stopka"/>
      <w:spacing w:before="120"/>
      <w:jc w:val="right"/>
      <w:rPr>
        <w:rFonts w:ascii="Cambria" w:hAnsi="Cambria"/>
        <w:bCs/>
        <w:sz w:val="16"/>
        <w:szCs w:val="20"/>
      </w:rPr>
    </w:pPr>
    <w:r w:rsidRPr="004D7D6C">
      <w:rPr>
        <w:rFonts w:ascii="Cambria" w:hAnsi="Cambria"/>
        <w:sz w:val="16"/>
        <w:szCs w:val="20"/>
      </w:rPr>
      <w:t xml:space="preserve">Strona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PAGE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37C1E" w:rsidRPr="004D7D6C">
      <w:rPr>
        <w:rFonts w:ascii="Cambria" w:hAnsi="Cambria"/>
        <w:bCs/>
        <w:noProof/>
        <w:sz w:val="16"/>
        <w:szCs w:val="20"/>
      </w:rPr>
      <w:t>2</w:t>
    </w:r>
    <w:r w:rsidRPr="004D7D6C">
      <w:rPr>
        <w:rFonts w:ascii="Cambria" w:hAnsi="Cambria"/>
        <w:bCs/>
        <w:sz w:val="16"/>
        <w:szCs w:val="20"/>
      </w:rPr>
      <w:fldChar w:fldCharType="end"/>
    </w:r>
    <w:r w:rsidRPr="004D7D6C">
      <w:rPr>
        <w:rFonts w:ascii="Cambria" w:hAnsi="Cambria"/>
        <w:sz w:val="16"/>
        <w:szCs w:val="20"/>
      </w:rPr>
      <w:t xml:space="preserve"> z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NUMPAGES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37C1E" w:rsidRPr="004D7D6C">
      <w:rPr>
        <w:rFonts w:ascii="Cambria" w:hAnsi="Cambria"/>
        <w:bCs/>
        <w:noProof/>
        <w:sz w:val="16"/>
        <w:szCs w:val="20"/>
      </w:rPr>
      <w:t>2</w:t>
    </w:r>
    <w:r w:rsidRPr="004D7D6C">
      <w:rPr>
        <w:rFonts w:ascii="Cambria" w:hAnsi="Cambria"/>
        <w:bCs/>
        <w:sz w:val="16"/>
        <w:szCs w:val="20"/>
      </w:rPr>
      <w:fldChar w:fldCharType="end"/>
    </w: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AA" w:rsidRDefault="00A21DAA">
      <w:r>
        <w:separator/>
      </w:r>
    </w:p>
  </w:footnote>
  <w:footnote w:type="continuationSeparator" w:id="0">
    <w:p w:rsidR="00A21DAA" w:rsidRDefault="00A21DAA">
      <w:r>
        <w:continuationSeparator/>
      </w:r>
    </w:p>
  </w:footnote>
  <w:footnote w:id="1">
    <w:p w:rsidR="00E70572" w:rsidRPr="00781969" w:rsidRDefault="00A27085" w:rsidP="004563E6">
      <w:pPr>
        <w:pStyle w:val="Tekstprzypisudolnego"/>
        <w:numPr>
          <w:ilvl w:val="0"/>
          <w:numId w:val="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781969">
        <w:rPr>
          <w:rFonts w:ascii="Cambria" w:hAnsi="Cambria" w:cs="Calibri"/>
          <w:i/>
          <w:sz w:val="16"/>
          <w:szCs w:val="16"/>
        </w:rPr>
        <w:t>Zaznaczyć właściwe.</w:t>
      </w:r>
      <w:r w:rsidR="00E70572" w:rsidRPr="00781969">
        <w:rPr>
          <w:rFonts w:ascii="Cambria" w:hAnsi="Cambria" w:cs="Calibri"/>
          <w:i/>
          <w:sz w:val="16"/>
          <w:szCs w:val="16"/>
        </w:rPr>
        <w:tab/>
      </w:r>
    </w:p>
  </w:footnote>
  <w:footnote w:id="2">
    <w:p w:rsidR="005E493A" w:rsidRPr="00781969" w:rsidRDefault="005E493A" w:rsidP="007F6628">
      <w:pPr>
        <w:spacing w:line="276" w:lineRule="auto"/>
        <w:jc w:val="both"/>
        <w:rPr>
          <w:rFonts w:ascii="Cambria" w:eastAsia="MS Mincho" w:hAnsi="Cambria"/>
          <w:sz w:val="16"/>
          <w:szCs w:val="16"/>
          <w:lang w:eastAsia="en-US"/>
        </w:rPr>
      </w:pPr>
      <w:r w:rsidRPr="00781969">
        <w:rPr>
          <w:rStyle w:val="Odwoanieprzypisudolnego"/>
          <w:rFonts w:ascii="Cambria" w:hAnsi="Cambria"/>
          <w:sz w:val="16"/>
          <w:szCs w:val="16"/>
        </w:rPr>
        <w:footnoteRef/>
      </w:r>
      <w:r w:rsidRPr="00781969">
        <w:rPr>
          <w:rFonts w:ascii="Cambria" w:hAnsi="Cambria"/>
          <w:sz w:val="16"/>
          <w:szCs w:val="16"/>
        </w:rPr>
        <w:t xml:space="preserve"> </w:t>
      </w:r>
      <w:r w:rsidR="00781969" w:rsidRPr="00781969">
        <w:rPr>
          <w:rFonts w:ascii="Cambria" w:eastAsia="Calibri" w:hAnsi="Cambria" w:cs="Calibri"/>
          <w:sz w:val="16"/>
          <w:szCs w:val="16"/>
          <w:u w:color="000000"/>
          <w:lang w:eastAsia="en-GB"/>
        </w:rPr>
        <w:t>Minimalny okres gwarancji wynosi 3 lata. W przypadku niezaznaczenia przez Wykonawcę żadnej z powyższych opcji, Zamawiający przyjmie, iż Wykonawca oferuje minimalny okres gwarancji czyli 3 lata i wówczas przyzna Wykonawcy w powyższym kryterium 0 pkt.</w:t>
      </w:r>
    </w:p>
  </w:footnote>
  <w:footnote w:id="3">
    <w:p w:rsidR="00384806" w:rsidRPr="00384806" w:rsidRDefault="00384806" w:rsidP="007F6628">
      <w:pPr>
        <w:widowControl w:val="0"/>
        <w:autoSpaceDN w:val="0"/>
        <w:textAlignment w:val="baseline"/>
        <w:rPr>
          <w:rFonts w:ascii="Cambria" w:hAnsi="Cambria" w:cs="Calibri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Calibri"/>
          <w:sz w:val="16"/>
          <w:szCs w:val="18"/>
        </w:rPr>
        <w:t>G</w:t>
      </w:r>
      <w:r w:rsidRPr="00384806">
        <w:rPr>
          <w:rFonts w:ascii="Cambria" w:hAnsi="Cambria" w:cs="Calibri"/>
          <w:sz w:val="16"/>
          <w:szCs w:val="18"/>
          <w:u w:val="single"/>
        </w:rPr>
        <w:t>warancja ta nie może być  mniejsza niż gwarancja ogólna zadeklarowana w punkcie poprzednim, tj. 3 – 6 lat</w:t>
      </w:r>
      <w:r w:rsidRPr="00384806">
        <w:rPr>
          <w:rFonts w:ascii="Cambria" w:hAnsi="Cambria" w:cs="Calibri"/>
          <w:sz w:val="16"/>
          <w:szCs w:val="18"/>
        </w:rPr>
        <w:t>)</w:t>
      </w:r>
      <w:r>
        <w:rPr>
          <w:rFonts w:ascii="Cambria" w:hAnsi="Cambria" w:cs="Calibri"/>
          <w:sz w:val="16"/>
          <w:szCs w:val="18"/>
        </w:rPr>
        <w:t xml:space="preserve">. </w:t>
      </w:r>
      <w:r w:rsidRPr="00384806">
        <w:rPr>
          <w:rFonts w:ascii="Cambria" w:eastAsia="MS Mincho" w:hAnsi="Cambria"/>
          <w:sz w:val="16"/>
          <w:szCs w:val="16"/>
        </w:rPr>
        <w:t>W przypadku niezaznaczenia przez Wykonawcę żadnej z powyższych opcji, Zamawiający przyjmie, iż Wykonawca oferuje okres gwarancji jak zadeklarowaną gwarancję ogólną (3 -  6 lat) i wówczas przyzna Wykonawcy w powyższym kryterium 0 pkt.</w:t>
      </w:r>
    </w:p>
  </w:footnote>
  <w:footnote w:id="4">
    <w:p w:rsidR="00384806" w:rsidRPr="00384806" w:rsidRDefault="00384806" w:rsidP="007F6628">
      <w:pPr>
        <w:spacing w:line="276" w:lineRule="auto"/>
        <w:jc w:val="both"/>
        <w:rPr>
          <w:rFonts w:ascii="Cambria" w:eastAsia="MS Mincho" w:hAnsi="Cambria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384806">
        <w:rPr>
          <w:rFonts w:ascii="Cambria" w:eastAsia="MS Mincho" w:hAnsi="Cambria"/>
          <w:sz w:val="16"/>
          <w:szCs w:val="16"/>
        </w:rPr>
        <w:t>W przypadku niezaznaczenia przez Wykonawcę żadnej z powyższych opcji, Zamawiający przyjmie, iż Wykonawca oferuje okres maksymalny (</w:t>
      </w:r>
      <w:r w:rsidRPr="00384806">
        <w:rPr>
          <w:rFonts w:ascii="Cambria" w:hAnsi="Cambria" w:cs="Calibri"/>
          <w:sz w:val="16"/>
          <w:szCs w:val="18"/>
        </w:rPr>
        <w:t xml:space="preserve">czyli czas reakcji powyżej 120 h, nie dłużej jak 14 dni) i </w:t>
      </w:r>
      <w:r w:rsidRPr="00384806">
        <w:rPr>
          <w:rFonts w:ascii="Cambria" w:eastAsia="MS Mincho" w:hAnsi="Cambria"/>
          <w:sz w:val="16"/>
          <w:szCs w:val="16"/>
        </w:rPr>
        <w:t>wówczas przyzna Wykonawcy w powyższym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43"/>
  </w:num>
  <w:num w:numId="4">
    <w:abstractNumId w:val="46"/>
  </w:num>
  <w:num w:numId="5">
    <w:abstractNumId w:val="55"/>
  </w:num>
  <w:num w:numId="6">
    <w:abstractNumId w:val="53"/>
  </w:num>
  <w:num w:numId="7">
    <w:abstractNumId w:val="5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6D55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4F01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2B8C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4806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63E6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D7D6C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667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969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7F6628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DAA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0E10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6715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2FCCA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val="x-none"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val="x-none"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FC62-7B80-4BEB-9DAB-6D20B0D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6262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6</cp:revision>
  <cp:lastPrinted>2022-11-09T08:45:00Z</cp:lastPrinted>
  <dcterms:created xsi:type="dcterms:W3CDTF">2022-11-08T12:26:00Z</dcterms:created>
  <dcterms:modified xsi:type="dcterms:W3CDTF">2022-11-09T08:56:00Z</dcterms:modified>
</cp:coreProperties>
</file>