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201F72">
        <w:rPr>
          <w:rFonts w:ascii="CG Omega" w:hAnsi="CG Omega" w:cs="Gautami"/>
          <w:b/>
          <w:sz w:val="22"/>
          <w:szCs w:val="22"/>
        </w:rPr>
        <w:t>IZ.271.I.5.2019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eksploatacyjnych (tonerów) na bieżące potrzeb</w:t>
      </w:r>
      <w:r w:rsidR="00EE4B98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2019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Pzp.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3A5E9F">
        <w:rPr>
          <w:rFonts w:ascii="CG Omega" w:hAnsi="CG Omega"/>
          <w:sz w:val="22"/>
          <w:szCs w:val="22"/>
        </w:rPr>
        <w:t>w terminach wskazanych 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201F72"/>
    <w:rsid w:val="0036521E"/>
    <w:rsid w:val="003A5E9F"/>
    <w:rsid w:val="00535DDF"/>
    <w:rsid w:val="0084762D"/>
    <w:rsid w:val="009B5ACD"/>
    <w:rsid w:val="00C00C3E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2016-02-04T07:16:00Z</dcterms:created>
  <dcterms:modified xsi:type="dcterms:W3CDTF">2019-03-14T09:07:00Z</dcterms:modified>
</cp:coreProperties>
</file>