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40A4C" w14:textId="77777777" w:rsidR="007510D0" w:rsidRPr="0018239B" w:rsidRDefault="007510D0" w:rsidP="007510D0">
      <w:pPr>
        <w:rPr>
          <w:color w:val="000000"/>
        </w:rPr>
      </w:pPr>
    </w:p>
    <w:p w14:paraId="27CBD8DB" w14:textId="77777777" w:rsidR="007510D0" w:rsidRPr="0018239B" w:rsidRDefault="007510D0" w:rsidP="007510D0">
      <w:pPr>
        <w:ind w:firstLine="227"/>
        <w:jc w:val="center"/>
        <w:rPr>
          <w:b/>
          <w:color w:val="000000"/>
        </w:rPr>
      </w:pPr>
      <w:r w:rsidRPr="0018239B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4861083" wp14:editId="566F6AB1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116853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239B">
        <w:rPr>
          <w:b/>
          <w:color w:val="000000"/>
        </w:rPr>
        <w:t>ŚWIDNICKIE TOWARZYSTWO BUDOWNICTWA</w:t>
      </w:r>
    </w:p>
    <w:p w14:paraId="524B1BD4" w14:textId="77777777" w:rsidR="007510D0" w:rsidRPr="0018239B" w:rsidRDefault="007510D0" w:rsidP="007510D0">
      <w:pPr>
        <w:ind w:firstLine="227"/>
        <w:jc w:val="center"/>
        <w:rPr>
          <w:b/>
          <w:color w:val="000000"/>
        </w:rPr>
      </w:pPr>
      <w:r w:rsidRPr="0018239B">
        <w:rPr>
          <w:b/>
          <w:color w:val="000000"/>
        </w:rPr>
        <w:t>SPOŁECZNEGO SP. Z O.O.</w:t>
      </w:r>
    </w:p>
    <w:p w14:paraId="26777ECA" w14:textId="77777777" w:rsidR="007510D0" w:rsidRPr="0018239B" w:rsidRDefault="007510D0" w:rsidP="007510D0">
      <w:pPr>
        <w:ind w:firstLine="227"/>
        <w:jc w:val="center"/>
        <w:rPr>
          <w:b/>
          <w:color w:val="000000"/>
        </w:rPr>
      </w:pPr>
      <w:r w:rsidRPr="0018239B">
        <w:rPr>
          <w:b/>
          <w:color w:val="000000"/>
        </w:rPr>
        <w:t>58-100 Świdnica, ul. Głowackiego 39A</w:t>
      </w:r>
    </w:p>
    <w:p w14:paraId="5147DF01" w14:textId="77777777" w:rsidR="007510D0" w:rsidRPr="0018239B" w:rsidRDefault="007510D0" w:rsidP="007510D0">
      <w:pPr>
        <w:ind w:firstLine="227"/>
        <w:jc w:val="center"/>
        <w:rPr>
          <w:b/>
          <w:color w:val="000000"/>
        </w:rPr>
      </w:pPr>
      <w:r w:rsidRPr="0018239B">
        <w:rPr>
          <w:b/>
          <w:color w:val="000000"/>
        </w:rPr>
        <w:t>tel./fax: 74/852-55-32, 74/856-90-22</w:t>
      </w:r>
    </w:p>
    <w:p w14:paraId="4D42F81D" w14:textId="77777777" w:rsidR="007510D0" w:rsidRPr="0018239B" w:rsidRDefault="007510D0" w:rsidP="007510D0">
      <w:pPr>
        <w:ind w:firstLine="227"/>
        <w:jc w:val="center"/>
        <w:rPr>
          <w:color w:val="000000"/>
          <w:sz w:val="20"/>
          <w:szCs w:val="20"/>
        </w:rPr>
      </w:pPr>
      <w:r w:rsidRPr="0018239B">
        <w:rPr>
          <w:color w:val="000000"/>
          <w:sz w:val="20"/>
          <w:szCs w:val="20"/>
        </w:rPr>
        <w:t xml:space="preserve"> </w:t>
      </w:r>
      <w:hyperlink r:id="rId8" w:history="1">
        <w:r w:rsidRPr="0018239B">
          <w:rPr>
            <w:rStyle w:val="Hipercze"/>
            <w:sz w:val="20"/>
            <w:szCs w:val="20"/>
          </w:rPr>
          <w:t>www.tbs-swidnica.eu</w:t>
        </w:r>
      </w:hyperlink>
      <w:r w:rsidRPr="0018239B">
        <w:rPr>
          <w:color w:val="000000"/>
          <w:sz w:val="20"/>
          <w:szCs w:val="20"/>
        </w:rPr>
        <w:t xml:space="preserve"> </w:t>
      </w:r>
      <w:proofErr w:type="spellStart"/>
      <w:r w:rsidRPr="0018239B">
        <w:rPr>
          <w:color w:val="000000"/>
          <w:sz w:val="20"/>
          <w:szCs w:val="20"/>
        </w:rPr>
        <w:t>e-mail:</w:t>
      </w:r>
      <w:hyperlink r:id="rId9" w:history="1">
        <w:r w:rsidRPr="0018239B">
          <w:rPr>
            <w:rStyle w:val="Hipercze"/>
            <w:sz w:val="20"/>
            <w:szCs w:val="20"/>
          </w:rPr>
          <w:t>kontakt@tbs-swidnica.eu</w:t>
        </w:r>
        <w:proofErr w:type="spellEnd"/>
      </w:hyperlink>
    </w:p>
    <w:p w14:paraId="1D3546B5" w14:textId="77777777" w:rsidR="007510D0" w:rsidRPr="0018239B" w:rsidRDefault="007510D0" w:rsidP="007510D0">
      <w:pPr>
        <w:ind w:firstLine="227"/>
        <w:jc w:val="center"/>
        <w:rPr>
          <w:color w:val="000000"/>
          <w:sz w:val="20"/>
          <w:szCs w:val="20"/>
        </w:rPr>
      </w:pPr>
      <w:r w:rsidRPr="0018239B">
        <w:rPr>
          <w:color w:val="000000"/>
          <w:sz w:val="20"/>
          <w:szCs w:val="20"/>
        </w:rPr>
        <w:t>Konto: PKO BP S.A. O/Świdnica 24 1020 5138 0000 9202 0008 7924</w:t>
      </w:r>
    </w:p>
    <w:p w14:paraId="1FE63CE3" w14:textId="5E385A33" w:rsidR="007510D0" w:rsidRPr="0018239B" w:rsidRDefault="007510D0" w:rsidP="007510D0">
      <w:pPr>
        <w:ind w:firstLine="227"/>
        <w:jc w:val="center"/>
        <w:rPr>
          <w:color w:val="000000"/>
          <w:sz w:val="20"/>
          <w:szCs w:val="20"/>
        </w:rPr>
      </w:pPr>
      <w:r w:rsidRPr="0018239B">
        <w:rPr>
          <w:color w:val="000000"/>
          <w:sz w:val="20"/>
          <w:szCs w:val="20"/>
        </w:rPr>
        <w:t xml:space="preserve">REGON 890630878, NIP 884-21-21-139, kapitał zakładowy </w:t>
      </w:r>
      <w:r w:rsidR="00D27BB6" w:rsidRPr="00D27BB6">
        <w:rPr>
          <w:color w:val="000000"/>
          <w:sz w:val="20"/>
          <w:szCs w:val="20"/>
        </w:rPr>
        <w:t>70</w:t>
      </w:r>
      <w:r w:rsidR="00D27BB6">
        <w:rPr>
          <w:color w:val="000000"/>
          <w:sz w:val="20"/>
          <w:szCs w:val="20"/>
        </w:rPr>
        <w:t> </w:t>
      </w:r>
      <w:r w:rsidR="00D27BB6" w:rsidRPr="00D27BB6">
        <w:rPr>
          <w:color w:val="000000"/>
          <w:sz w:val="20"/>
          <w:szCs w:val="20"/>
        </w:rPr>
        <w:t>625</w:t>
      </w:r>
      <w:r w:rsidR="00D27BB6">
        <w:rPr>
          <w:color w:val="000000"/>
          <w:sz w:val="20"/>
          <w:szCs w:val="20"/>
        </w:rPr>
        <w:t> </w:t>
      </w:r>
      <w:r w:rsidR="00D27BB6" w:rsidRPr="00D27BB6">
        <w:rPr>
          <w:color w:val="000000"/>
          <w:sz w:val="20"/>
          <w:szCs w:val="20"/>
        </w:rPr>
        <w:t>000 zł</w:t>
      </w:r>
    </w:p>
    <w:p w14:paraId="5EBA8D9B" w14:textId="77777777" w:rsidR="007510D0" w:rsidRPr="0018239B" w:rsidRDefault="007510D0" w:rsidP="007510D0">
      <w:pPr>
        <w:ind w:left="1416" w:firstLine="708"/>
        <w:jc w:val="center"/>
        <w:rPr>
          <w:color w:val="000000"/>
          <w:sz w:val="20"/>
          <w:szCs w:val="20"/>
        </w:rPr>
      </w:pPr>
      <w:r w:rsidRPr="0018239B">
        <w:rPr>
          <w:color w:val="000000"/>
          <w:sz w:val="20"/>
          <w:szCs w:val="20"/>
        </w:rPr>
        <w:t>Sąd Rejonowy dla Wrocławia Fabrycznej KRS: 0000081668</w:t>
      </w:r>
    </w:p>
    <w:p w14:paraId="35D7558A" w14:textId="15A86BFE" w:rsidR="007510D0" w:rsidRPr="0018239B" w:rsidRDefault="007510D0" w:rsidP="00AF45E9">
      <w:pPr>
        <w:rPr>
          <w:rFonts w:eastAsia="Calibri"/>
          <w:lang w:eastAsia="en-US"/>
        </w:rPr>
      </w:pPr>
    </w:p>
    <w:p w14:paraId="1BFD8177" w14:textId="1EC33E30" w:rsidR="007510D0" w:rsidRPr="0018239B" w:rsidRDefault="007510D0" w:rsidP="00AF45E9">
      <w:r w:rsidRPr="001823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83FF6" wp14:editId="749A8586">
                <wp:simplePos x="0" y="0"/>
                <wp:positionH relativeFrom="column">
                  <wp:posOffset>176530</wp:posOffset>
                </wp:positionH>
                <wp:positionV relativeFrom="paragraph">
                  <wp:posOffset>17145</wp:posOffset>
                </wp:positionV>
                <wp:extent cx="5991225" cy="0"/>
                <wp:effectExtent l="10795" t="8890" r="8255" b="1016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978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3.9pt;margin-top:1.35pt;width:47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nt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ybxaM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"/>
            </w:pict>
          </mc:Fallback>
        </mc:AlternateContent>
      </w:r>
    </w:p>
    <w:p w14:paraId="6D9ACA12" w14:textId="4D0A59C0" w:rsidR="00D27BB6" w:rsidRDefault="00D27BB6" w:rsidP="00D27BB6">
      <w:pPr>
        <w:spacing w:before="120" w:after="120"/>
        <w:jc w:val="right"/>
      </w:pPr>
      <w:r w:rsidRPr="00590CBF">
        <w:t xml:space="preserve">Świdnica, dnia </w:t>
      </w:r>
      <w:r w:rsidR="00214960">
        <w:t>12</w:t>
      </w:r>
      <w:r w:rsidRPr="00590CBF">
        <w:t>-</w:t>
      </w:r>
      <w:r>
        <w:t>08</w:t>
      </w:r>
      <w:r w:rsidRPr="00590CBF">
        <w:t>-2024 r.</w:t>
      </w:r>
    </w:p>
    <w:p w14:paraId="66470441" w14:textId="77777777" w:rsidR="00D27BB6" w:rsidRDefault="00D27BB6" w:rsidP="00D27BB6">
      <w:pPr>
        <w:spacing w:before="120" w:after="120"/>
      </w:pPr>
    </w:p>
    <w:p w14:paraId="5187EAD7" w14:textId="3065310E" w:rsidR="00D27BB6" w:rsidRDefault="00214960" w:rsidP="00D27BB6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wszyscy Wykonawcy</w:t>
      </w:r>
    </w:p>
    <w:p w14:paraId="1AE58FBB" w14:textId="6E5CE5C3" w:rsidR="00D27BB6" w:rsidRDefault="00D27BB6" w:rsidP="00214960">
      <w:pPr>
        <w:spacing w:before="240" w:after="240"/>
        <w:jc w:val="both"/>
        <w:rPr>
          <w:bCs/>
          <w:i/>
          <w:u w:val="single"/>
          <w:lang w:eastAsia="ar-SA"/>
        </w:rPr>
      </w:pPr>
      <w:r w:rsidRPr="00B5238A">
        <w:rPr>
          <w:bCs/>
          <w:i/>
          <w:lang w:eastAsia="ar-SA"/>
        </w:rPr>
        <w:t xml:space="preserve">dot.: </w:t>
      </w:r>
      <w:r w:rsidRPr="00B5238A">
        <w:rPr>
          <w:bCs/>
          <w:i/>
          <w:u w:val="single"/>
          <w:lang w:eastAsia="ar-SA"/>
        </w:rPr>
        <w:t>postępowania o udzielenie zamówienia publicznego nr P</w:t>
      </w:r>
      <w:r>
        <w:rPr>
          <w:bCs/>
          <w:i/>
          <w:u w:val="single"/>
          <w:lang w:eastAsia="ar-SA"/>
        </w:rPr>
        <w:t xml:space="preserve"> </w:t>
      </w:r>
      <w:r w:rsidR="00214960">
        <w:rPr>
          <w:bCs/>
          <w:i/>
          <w:u w:val="single"/>
          <w:lang w:eastAsia="ar-SA"/>
        </w:rPr>
        <w:t>4</w:t>
      </w:r>
      <w:r>
        <w:rPr>
          <w:bCs/>
          <w:i/>
          <w:u w:val="single"/>
          <w:lang w:eastAsia="ar-SA"/>
        </w:rPr>
        <w:t>/2024</w:t>
      </w:r>
      <w:r w:rsidRPr="00B5238A">
        <w:rPr>
          <w:bCs/>
          <w:i/>
          <w:u w:val="single"/>
          <w:lang w:eastAsia="ar-SA"/>
        </w:rPr>
        <w:t xml:space="preserve"> pn.: </w:t>
      </w:r>
      <w:r w:rsidR="00214960" w:rsidRPr="00214960">
        <w:rPr>
          <w:bCs/>
          <w:i/>
          <w:u w:val="single"/>
          <w:lang w:eastAsia="ar-SA"/>
        </w:rPr>
        <w:t>„BUDOWA BUDYNKU MIESZKALNO-USŁUGOWEGO Z GARAŻEM PODZIEMNYM WRAZ Z</w:t>
      </w:r>
      <w:r w:rsidR="00C257FA">
        <w:rPr>
          <w:bCs/>
          <w:i/>
          <w:u w:val="single"/>
          <w:lang w:eastAsia="ar-SA"/>
        </w:rPr>
        <w:t> </w:t>
      </w:r>
      <w:r w:rsidR="00214960" w:rsidRPr="00214960">
        <w:rPr>
          <w:bCs/>
          <w:i/>
          <w:u w:val="single"/>
          <w:lang w:eastAsia="ar-SA"/>
        </w:rPr>
        <w:t>INFRASTRUKTURĄ TECHNICZNĄ I ZAGOSPODAROWANIEM TERENU</w:t>
      </w:r>
      <w:r w:rsidR="00214960">
        <w:rPr>
          <w:bCs/>
          <w:i/>
          <w:u w:val="single"/>
          <w:lang w:eastAsia="ar-SA"/>
        </w:rPr>
        <w:t xml:space="preserve"> </w:t>
      </w:r>
      <w:r w:rsidR="00214960" w:rsidRPr="00214960">
        <w:rPr>
          <w:bCs/>
          <w:i/>
          <w:u w:val="single"/>
          <w:lang w:eastAsia="ar-SA"/>
        </w:rPr>
        <w:t>PRZY ULICY KSIĘCIA BOLKA II ŚWIDNICKIEGO 26-28 W ŚWIDNICY”</w:t>
      </w:r>
    </w:p>
    <w:p w14:paraId="4D23C5C3" w14:textId="61AE2C66" w:rsidR="005C3F3A" w:rsidRPr="00A7627A" w:rsidRDefault="00214960" w:rsidP="005C3F3A">
      <w:pPr>
        <w:pStyle w:val="Bezodstpw"/>
        <w:spacing w:before="120" w:after="120"/>
        <w:jc w:val="center"/>
        <w:rPr>
          <w:b/>
          <w:sz w:val="28"/>
          <w:szCs w:val="28"/>
          <w:u w:val="single"/>
        </w:rPr>
      </w:pPr>
      <w:r w:rsidRPr="00A7627A">
        <w:rPr>
          <w:b/>
          <w:sz w:val="28"/>
          <w:szCs w:val="28"/>
          <w:u w:val="single"/>
        </w:rPr>
        <w:t>Modyfikacja SWZ nr 1</w:t>
      </w:r>
    </w:p>
    <w:p w14:paraId="68DB1CE7" w14:textId="345088F4" w:rsidR="00214960" w:rsidRPr="00B87894" w:rsidRDefault="00214960" w:rsidP="00214960">
      <w:pPr>
        <w:pStyle w:val="Zwykytekst3"/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B87894">
        <w:rPr>
          <w:rFonts w:ascii="Times New Roman" w:hAnsi="Times New Roman"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>,</w:t>
      </w:r>
      <w:r w:rsidRPr="00B87894">
        <w:rPr>
          <w:rFonts w:ascii="Times New Roman" w:hAnsi="Times New Roman"/>
          <w:sz w:val="24"/>
          <w:szCs w:val="24"/>
        </w:rPr>
        <w:t xml:space="preserve"> </w:t>
      </w:r>
      <w:r w:rsidRPr="00FD6355">
        <w:rPr>
          <w:rFonts w:ascii="Times New Roman" w:hAnsi="Times New Roman"/>
          <w:sz w:val="24"/>
          <w:szCs w:val="24"/>
        </w:rPr>
        <w:t xml:space="preserve">na podstawie art. </w:t>
      </w:r>
      <w:r>
        <w:rPr>
          <w:rFonts w:ascii="Times New Roman" w:hAnsi="Times New Roman"/>
          <w:sz w:val="24"/>
          <w:szCs w:val="24"/>
        </w:rPr>
        <w:t>137</w:t>
      </w:r>
      <w:r w:rsidRPr="00FD6355">
        <w:rPr>
          <w:rFonts w:ascii="Times New Roman" w:hAnsi="Times New Roman"/>
          <w:sz w:val="24"/>
          <w:szCs w:val="24"/>
        </w:rPr>
        <w:t xml:space="preserve"> ust. 1 ustawy z dnia 11 września 2019 r. Prawo zamówień publicznych (Dz. U. z </w:t>
      </w:r>
      <w:r>
        <w:rPr>
          <w:rFonts w:ascii="Times New Roman" w:hAnsi="Times New Roman"/>
          <w:sz w:val="24"/>
          <w:szCs w:val="24"/>
        </w:rPr>
        <w:t>2023</w:t>
      </w:r>
      <w:r w:rsidRPr="00FD6355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1605</w:t>
      </w:r>
      <w:r w:rsidRPr="00FD635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- dalej p.z.p., </w:t>
      </w:r>
      <w:r w:rsidRPr="00FD6355">
        <w:rPr>
          <w:rFonts w:ascii="Times New Roman" w:hAnsi="Times New Roman"/>
          <w:sz w:val="24"/>
          <w:szCs w:val="24"/>
        </w:rPr>
        <w:t>modyfikuje treść SWZ</w:t>
      </w:r>
      <w:r w:rsidRPr="00B87894">
        <w:rPr>
          <w:rFonts w:ascii="Times New Roman" w:hAnsi="Times New Roman"/>
          <w:sz w:val="24"/>
          <w:szCs w:val="24"/>
        </w:rPr>
        <w:t>:</w:t>
      </w:r>
    </w:p>
    <w:p w14:paraId="38F0CB65" w14:textId="1A1A4562" w:rsidR="00214960" w:rsidRPr="00C257FA" w:rsidRDefault="00214960" w:rsidP="0021496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/>
        <w:ind w:left="284" w:hanging="284"/>
        <w:rPr>
          <w:bCs/>
        </w:rPr>
      </w:pPr>
      <w:bookmarkStart w:id="0" w:name="_Hlk174350419"/>
      <w:r w:rsidRPr="00B87894">
        <w:rPr>
          <w:bCs/>
        </w:rPr>
        <w:t xml:space="preserve">Rozdz. </w:t>
      </w:r>
      <w:r w:rsidRPr="00C257FA">
        <w:rPr>
          <w:bCs/>
        </w:rPr>
        <w:t>XIV ust. 1 pkt 2 lit. d tiret drugi</w:t>
      </w:r>
      <w:r w:rsidR="009219F7" w:rsidRPr="00C257FA">
        <w:rPr>
          <w:bCs/>
        </w:rPr>
        <w:t xml:space="preserve"> </w:t>
      </w:r>
      <w:proofErr w:type="spellStart"/>
      <w:r w:rsidR="006B5250" w:rsidRPr="00C257FA">
        <w:rPr>
          <w:bCs/>
        </w:rPr>
        <w:t>p</w:t>
      </w:r>
      <w:r w:rsidR="009219F7" w:rsidRPr="00C257FA">
        <w:rPr>
          <w:bCs/>
        </w:rPr>
        <w:t>pkt</w:t>
      </w:r>
      <w:proofErr w:type="spellEnd"/>
      <w:r w:rsidR="009219F7" w:rsidRPr="00C257FA">
        <w:rPr>
          <w:bCs/>
        </w:rPr>
        <w:t xml:space="preserve"> 1</w:t>
      </w:r>
      <w:bookmarkEnd w:id="0"/>
    </w:p>
    <w:p w14:paraId="08B7B6BD" w14:textId="77777777" w:rsidR="00214960" w:rsidRPr="00B87894" w:rsidRDefault="00214960" w:rsidP="00214960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bCs/>
        </w:rPr>
      </w:pPr>
      <w:r w:rsidRPr="00B87894">
        <w:rPr>
          <w:bCs/>
        </w:rPr>
        <w:t>jest</w:t>
      </w:r>
    </w:p>
    <w:p w14:paraId="0820F66D" w14:textId="6C1DCA53" w:rsidR="009219F7" w:rsidRDefault="00214960" w:rsidP="00214960">
      <w:pPr>
        <w:contextualSpacing/>
        <w:jc w:val="both"/>
        <w:rPr>
          <w:bCs/>
        </w:rPr>
      </w:pPr>
      <w:bookmarkStart w:id="1" w:name="_Hlk174347195"/>
      <w:r w:rsidRPr="002165D6">
        <w:rPr>
          <w:bCs/>
        </w:rPr>
        <w:t>„</w:t>
      </w:r>
      <w:r w:rsidR="009219F7">
        <w:rPr>
          <w:bCs/>
        </w:rPr>
        <w:t>(…)</w:t>
      </w:r>
    </w:p>
    <w:p w14:paraId="439F6F85" w14:textId="2B7435A4" w:rsidR="00214960" w:rsidRPr="009219F7" w:rsidRDefault="00214960" w:rsidP="009219F7">
      <w:pPr>
        <w:pStyle w:val="Akapitzlist"/>
        <w:numPr>
          <w:ilvl w:val="0"/>
          <w:numId w:val="8"/>
        </w:numPr>
        <w:ind w:left="284" w:hanging="284"/>
        <w:contextualSpacing w:val="0"/>
        <w:jc w:val="both"/>
        <w:rPr>
          <w:rFonts w:eastAsia="MS Mincho"/>
          <w:bCs/>
        </w:rPr>
      </w:pPr>
      <w:r w:rsidRPr="009219F7">
        <w:rPr>
          <w:rFonts w:eastAsia="MS Mincho"/>
          <w:bCs/>
        </w:rPr>
        <w:t>posiada niezbędną wiedzę i doświadczenie, tj.:</w:t>
      </w:r>
    </w:p>
    <w:p w14:paraId="568609C5" w14:textId="77777777" w:rsidR="00214960" w:rsidRPr="00F02AE3" w:rsidRDefault="00214960" w:rsidP="00214960">
      <w:pPr>
        <w:pStyle w:val="Tekstkomentarza"/>
        <w:numPr>
          <w:ilvl w:val="0"/>
          <w:numId w:val="5"/>
        </w:numPr>
        <w:tabs>
          <w:tab w:val="clear" w:pos="0"/>
        </w:tabs>
        <w:ind w:left="568" w:hanging="284"/>
        <w:jc w:val="both"/>
        <w:rPr>
          <w:sz w:val="24"/>
          <w:szCs w:val="24"/>
        </w:rPr>
      </w:pPr>
      <w:r w:rsidRPr="00F02AE3">
        <w:rPr>
          <w:rFonts w:eastAsia="MS Mincho"/>
          <w:bCs/>
          <w:sz w:val="24"/>
          <w:szCs w:val="24"/>
        </w:rPr>
        <w:t>w okresie ostatnich 5 lat przed upływem terminu składania ofert, a jeżeli okres prowadzenia działalności jest krótszy - w tym okresie, wykonał (zakończył):</w:t>
      </w:r>
    </w:p>
    <w:p w14:paraId="231E0D60" w14:textId="77777777" w:rsidR="00214960" w:rsidRDefault="00214960" w:rsidP="00214960">
      <w:pPr>
        <w:pStyle w:val="Tekstkomentarza"/>
        <w:numPr>
          <w:ilvl w:val="0"/>
          <w:numId w:val="6"/>
        </w:numPr>
        <w:tabs>
          <w:tab w:val="clear" w:pos="0"/>
        </w:tabs>
        <w:ind w:left="851" w:hanging="284"/>
        <w:jc w:val="both"/>
        <w:rPr>
          <w:sz w:val="24"/>
          <w:szCs w:val="24"/>
        </w:rPr>
      </w:pPr>
      <w:r w:rsidRPr="00F02AE3">
        <w:rPr>
          <w:sz w:val="24"/>
          <w:szCs w:val="24"/>
        </w:rPr>
        <w:t>dwie (2) roboty budowlane</w:t>
      </w:r>
      <w:r w:rsidRPr="00F02AE3">
        <w:rPr>
          <w:sz w:val="24"/>
          <w:szCs w:val="24"/>
          <w:vertAlign w:val="superscript"/>
        </w:rPr>
        <w:footnoteReference w:id="1"/>
      </w:r>
      <w:r w:rsidRPr="00F02AE3">
        <w:rPr>
          <w:sz w:val="24"/>
          <w:szCs w:val="24"/>
        </w:rPr>
        <w:t>, z których każda była o wartości nie mniejszej niż 7.000.000,00 zł netto (słownie: siedem milionów złotych netto) i polegała na budowie budynku wielorodzinnego o powierzchni użytkowej mieszkań co najmniej 1.600 m</w:t>
      </w:r>
      <w:r w:rsidRPr="00F02AE3">
        <w:rPr>
          <w:sz w:val="24"/>
          <w:szCs w:val="24"/>
          <w:vertAlign w:val="superscript"/>
        </w:rPr>
        <w:t>2</w:t>
      </w:r>
      <w:r w:rsidRPr="00F02AE3">
        <w:rPr>
          <w:sz w:val="24"/>
          <w:szCs w:val="24"/>
        </w:rPr>
        <w:t xml:space="preserve"> wraz z budową garażu podziemnego, o liczbie miejsc parkingowych nie mniejszej niż 25.</w:t>
      </w:r>
    </w:p>
    <w:p w14:paraId="30390587" w14:textId="77777777" w:rsidR="00214960" w:rsidRDefault="00214960" w:rsidP="00214960">
      <w:pPr>
        <w:pStyle w:val="Tekstkomentarza"/>
        <w:ind w:left="851"/>
        <w:jc w:val="both"/>
        <w:rPr>
          <w:sz w:val="24"/>
          <w:szCs w:val="24"/>
        </w:rPr>
      </w:pPr>
      <w:r w:rsidRPr="00214960">
        <w:rPr>
          <w:rFonts w:eastAsia="MS Mincho"/>
          <w:bCs/>
          <w:i/>
          <w:iCs/>
          <w:sz w:val="24"/>
          <w:szCs w:val="24"/>
        </w:rPr>
        <w:t>UWAGA!</w:t>
      </w:r>
    </w:p>
    <w:p w14:paraId="10D2546B" w14:textId="6FBC91FA" w:rsidR="00214960" w:rsidRPr="00214960" w:rsidRDefault="00214960" w:rsidP="00214960">
      <w:pPr>
        <w:pStyle w:val="Tekstkomentarza"/>
        <w:ind w:left="851"/>
        <w:jc w:val="both"/>
        <w:rPr>
          <w:sz w:val="24"/>
          <w:szCs w:val="24"/>
        </w:rPr>
      </w:pPr>
      <w:r w:rsidRPr="00F02AE3">
        <w:rPr>
          <w:rFonts w:eastAsia="MS Mincho"/>
          <w:bCs/>
          <w:i/>
          <w:iCs/>
          <w:sz w:val="24"/>
          <w:szCs w:val="24"/>
        </w:rPr>
        <w:t>Zamawiający dopuszcza możliwość wykazania się jednym zamówieniem-umową, o ile w zakresie przedmiotu zamówienia było wybudowanie więcej niż 1 budynku wielorodzinnego lub budynku użyteczności publicznej, pod warunkiem że każdy z tych budynków będzie spełniał postawiony powyżej warunek.</w:t>
      </w:r>
    </w:p>
    <w:p w14:paraId="6FFD449D" w14:textId="16C15060" w:rsidR="00214960" w:rsidRPr="00F02AE3" w:rsidRDefault="009219F7" w:rsidP="00214960">
      <w:pPr>
        <w:pStyle w:val="Tekstkomentarza"/>
        <w:jc w:val="both"/>
        <w:rPr>
          <w:sz w:val="24"/>
          <w:szCs w:val="24"/>
        </w:rPr>
      </w:pPr>
      <w:r>
        <w:rPr>
          <w:sz w:val="24"/>
          <w:szCs w:val="24"/>
        </w:rPr>
        <w:t>(…)”</w:t>
      </w:r>
    </w:p>
    <w:p w14:paraId="2A4A1848" w14:textId="77777777" w:rsidR="00214960" w:rsidRPr="00D24FFD" w:rsidRDefault="00214960" w:rsidP="00214960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b/>
          <w:bCs/>
        </w:rPr>
      </w:pPr>
      <w:bookmarkStart w:id="2" w:name="_Hlk174350619"/>
      <w:bookmarkEnd w:id="1"/>
      <w:r w:rsidRPr="00D24FFD">
        <w:rPr>
          <w:b/>
          <w:bCs/>
        </w:rPr>
        <w:t>winno być</w:t>
      </w:r>
    </w:p>
    <w:bookmarkEnd w:id="2"/>
    <w:p w14:paraId="78E1F5B7" w14:textId="77777777" w:rsidR="009219F7" w:rsidRDefault="009219F7" w:rsidP="009219F7">
      <w:pPr>
        <w:contextualSpacing/>
        <w:jc w:val="both"/>
        <w:rPr>
          <w:bCs/>
        </w:rPr>
      </w:pPr>
      <w:r w:rsidRPr="002165D6">
        <w:rPr>
          <w:bCs/>
        </w:rPr>
        <w:t>„</w:t>
      </w:r>
      <w:r>
        <w:rPr>
          <w:bCs/>
        </w:rPr>
        <w:t>(…)</w:t>
      </w:r>
    </w:p>
    <w:p w14:paraId="0F9C7062" w14:textId="19ED938F" w:rsidR="009219F7" w:rsidRPr="00F02AE3" w:rsidRDefault="009219F7" w:rsidP="009219F7">
      <w:pPr>
        <w:pStyle w:val="Akapitzlist"/>
        <w:numPr>
          <w:ilvl w:val="0"/>
          <w:numId w:val="8"/>
        </w:numPr>
        <w:ind w:left="284" w:hanging="284"/>
        <w:contextualSpacing w:val="0"/>
        <w:jc w:val="both"/>
        <w:rPr>
          <w:rFonts w:eastAsia="MS Mincho"/>
          <w:bCs/>
        </w:rPr>
      </w:pPr>
      <w:r w:rsidRPr="00F02AE3">
        <w:rPr>
          <w:rFonts w:eastAsia="MS Mincho"/>
          <w:bCs/>
        </w:rPr>
        <w:t>posiada niezbędną wiedzę i doświadczenie, tj.:</w:t>
      </w:r>
    </w:p>
    <w:p w14:paraId="7F901FA9" w14:textId="77777777" w:rsidR="009219F7" w:rsidRPr="00F02AE3" w:rsidRDefault="009219F7" w:rsidP="009219F7">
      <w:pPr>
        <w:pStyle w:val="Tekstkomentarza"/>
        <w:numPr>
          <w:ilvl w:val="0"/>
          <w:numId w:val="5"/>
        </w:numPr>
        <w:tabs>
          <w:tab w:val="clear" w:pos="0"/>
        </w:tabs>
        <w:ind w:left="568" w:hanging="284"/>
        <w:jc w:val="both"/>
        <w:rPr>
          <w:sz w:val="24"/>
          <w:szCs w:val="24"/>
        </w:rPr>
      </w:pPr>
      <w:r w:rsidRPr="00F02AE3">
        <w:rPr>
          <w:rFonts w:eastAsia="MS Mincho"/>
          <w:bCs/>
          <w:sz w:val="24"/>
          <w:szCs w:val="24"/>
        </w:rPr>
        <w:t>w okresie ostatnich 5 lat przed upływem terminu składania ofert, a jeżeli okres prowadzenia działalności jest krótszy - w tym okresie, wykonał (zakończył):</w:t>
      </w:r>
    </w:p>
    <w:p w14:paraId="29ECD177" w14:textId="2A2F5B57" w:rsidR="009219F7" w:rsidRDefault="009219F7" w:rsidP="009219F7">
      <w:pPr>
        <w:pStyle w:val="Tekstkomentarza"/>
        <w:numPr>
          <w:ilvl w:val="0"/>
          <w:numId w:val="7"/>
        </w:numPr>
        <w:tabs>
          <w:tab w:val="clear" w:pos="0"/>
        </w:tabs>
        <w:ind w:left="851" w:hanging="284"/>
        <w:jc w:val="both"/>
        <w:rPr>
          <w:sz w:val="24"/>
          <w:szCs w:val="24"/>
        </w:rPr>
      </w:pPr>
      <w:r w:rsidRPr="00F02AE3">
        <w:rPr>
          <w:sz w:val="24"/>
          <w:szCs w:val="24"/>
        </w:rPr>
        <w:t>dwie (2) roboty budowlane</w:t>
      </w:r>
      <w:r w:rsidRPr="00F02AE3">
        <w:rPr>
          <w:sz w:val="24"/>
          <w:szCs w:val="24"/>
          <w:vertAlign w:val="superscript"/>
        </w:rPr>
        <w:footnoteReference w:id="2"/>
      </w:r>
      <w:r w:rsidRPr="00F02AE3">
        <w:rPr>
          <w:sz w:val="24"/>
          <w:szCs w:val="24"/>
        </w:rPr>
        <w:t xml:space="preserve">, z których każda była o wartości nie mniejszej niż </w:t>
      </w:r>
      <w:r w:rsidRPr="00F02AE3">
        <w:rPr>
          <w:sz w:val="24"/>
          <w:szCs w:val="24"/>
        </w:rPr>
        <w:lastRenderedPageBreak/>
        <w:t>7.000.000,00 zł netto (słownie: siedem milionów złotych netto) i polegała na budowie budynku wielorodzinnego o powierzchni użytkowej co najmniej 1.600 m</w:t>
      </w:r>
      <w:r w:rsidRPr="00F02AE3">
        <w:rPr>
          <w:sz w:val="24"/>
          <w:szCs w:val="24"/>
          <w:vertAlign w:val="superscript"/>
        </w:rPr>
        <w:t>2</w:t>
      </w:r>
      <w:r w:rsidRPr="00F02AE3">
        <w:rPr>
          <w:sz w:val="24"/>
          <w:szCs w:val="24"/>
        </w:rPr>
        <w:t xml:space="preserve"> wraz z</w:t>
      </w:r>
      <w:r w:rsidR="00C257FA">
        <w:rPr>
          <w:sz w:val="24"/>
          <w:szCs w:val="24"/>
        </w:rPr>
        <w:t> </w:t>
      </w:r>
      <w:r w:rsidRPr="00F02AE3">
        <w:rPr>
          <w:sz w:val="24"/>
          <w:szCs w:val="24"/>
        </w:rPr>
        <w:t>budową garażu podziemnego, o liczbie miejsc parkingowych nie mniejszej niż 25</w:t>
      </w:r>
    </w:p>
    <w:p w14:paraId="6FD546AA" w14:textId="1117CB62" w:rsidR="009219F7" w:rsidRDefault="009219F7" w:rsidP="009219F7">
      <w:pPr>
        <w:pStyle w:val="Tekstkomentarza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albo</w:t>
      </w:r>
    </w:p>
    <w:p w14:paraId="74B29CE9" w14:textId="7B7C6EF9" w:rsidR="009219F7" w:rsidRDefault="009219F7" w:rsidP="009219F7">
      <w:pPr>
        <w:pStyle w:val="Tekstkomentarza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jedna</w:t>
      </w:r>
      <w:r w:rsidRPr="009219F7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Pr="009219F7">
        <w:rPr>
          <w:sz w:val="24"/>
          <w:szCs w:val="24"/>
        </w:rPr>
        <w:t>) robot</w:t>
      </w:r>
      <w:r>
        <w:rPr>
          <w:sz w:val="24"/>
          <w:szCs w:val="24"/>
        </w:rPr>
        <w:t>a</w:t>
      </w:r>
      <w:r w:rsidRPr="009219F7">
        <w:rPr>
          <w:sz w:val="24"/>
          <w:szCs w:val="24"/>
        </w:rPr>
        <w:t xml:space="preserve"> budowlan</w:t>
      </w:r>
      <w:r>
        <w:rPr>
          <w:sz w:val="24"/>
          <w:szCs w:val="24"/>
        </w:rPr>
        <w:t xml:space="preserve">a </w:t>
      </w:r>
      <w:r w:rsidRPr="009219F7">
        <w:rPr>
          <w:sz w:val="24"/>
          <w:szCs w:val="24"/>
        </w:rPr>
        <w:t>o wartości nie mniejszej niż 7.000.000,00 zł netto (słownie: siedem milionów złotych netto) polega</w:t>
      </w:r>
      <w:r>
        <w:rPr>
          <w:sz w:val="24"/>
          <w:szCs w:val="24"/>
        </w:rPr>
        <w:t>jąca</w:t>
      </w:r>
      <w:r w:rsidRPr="009219F7">
        <w:rPr>
          <w:sz w:val="24"/>
          <w:szCs w:val="24"/>
        </w:rPr>
        <w:t xml:space="preserve"> na budowie budynku wielorodzinnego o powierzchni użytkowej co najmniej 1.600 m</w:t>
      </w:r>
      <w:r w:rsidRPr="009219F7">
        <w:rPr>
          <w:sz w:val="24"/>
          <w:szCs w:val="24"/>
          <w:vertAlign w:val="superscript"/>
        </w:rPr>
        <w:t>2</w:t>
      </w:r>
      <w:r w:rsidRPr="009219F7">
        <w:rPr>
          <w:sz w:val="24"/>
          <w:szCs w:val="24"/>
        </w:rPr>
        <w:t xml:space="preserve"> wraz z budową garażu podziemnego, o liczbie miejsc parkingowych nie mniejszej niż 25</w:t>
      </w:r>
      <w:r>
        <w:rPr>
          <w:sz w:val="24"/>
          <w:szCs w:val="24"/>
        </w:rPr>
        <w:t xml:space="preserve"> i </w:t>
      </w:r>
      <w:r w:rsidRPr="009219F7">
        <w:rPr>
          <w:sz w:val="24"/>
          <w:szCs w:val="24"/>
        </w:rPr>
        <w:t xml:space="preserve">jedna (1) robota budowlana o wartości nie mniejszej niż 7.000.000,00 zł netto (słownie: siedem milionów złotych netto) polegająca na budowie budynku </w:t>
      </w:r>
      <w:r>
        <w:rPr>
          <w:sz w:val="24"/>
          <w:szCs w:val="24"/>
        </w:rPr>
        <w:t>użyteczności publicznej</w:t>
      </w:r>
      <w:r w:rsidRPr="009219F7">
        <w:rPr>
          <w:sz w:val="24"/>
          <w:szCs w:val="24"/>
        </w:rPr>
        <w:t xml:space="preserve"> o</w:t>
      </w:r>
      <w:r w:rsidR="00C257FA">
        <w:rPr>
          <w:sz w:val="24"/>
          <w:szCs w:val="24"/>
        </w:rPr>
        <w:t> </w:t>
      </w:r>
      <w:r w:rsidRPr="009219F7">
        <w:rPr>
          <w:sz w:val="24"/>
          <w:szCs w:val="24"/>
        </w:rPr>
        <w:t>powierzchni użytkowej co najmniej 1.600 m</w:t>
      </w:r>
      <w:r w:rsidRPr="009219F7">
        <w:rPr>
          <w:sz w:val="24"/>
          <w:szCs w:val="24"/>
          <w:vertAlign w:val="superscript"/>
        </w:rPr>
        <w:t>2</w:t>
      </w:r>
      <w:r w:rsidRPr="009219F7">
        <w:rPr>
          <w:sz w:val="24"/>
          <w:szCs w:val="24"/>
        </w:rPr>
        <w:t xml:space="preserve"> wraz z budową garażu podziemnego, o liczbie miejsc parkingowych nie mniejszej niż 25</w:t>
      </w:r>
      <w:r w:rsidR="00695BEF">
        <w:rPr>
          <w:sz w:val="24"/>
          <w:szCs w:val="24"/>
        </w:rPr>
        <w:t>.</w:t>
      </w:r>
    </w:p>
    <w:p w14:paraId="7D15FC14" w14:textId="52E377EC" w:rsidR="009219F7" w:rsidRPr="009219F7" w:rsidRDefault="009219F7" w:rsidP="009219F7">
      <w:pPr>
        <w:pStyle w:val="Tekstkomentarza"/>
        <w:ind w:left="851"/>
        <w:jc w:val="both"/>
        <w:rPr>
          <w:sz w:val="24"/>
          <w:szCs w:val="24"/>
        </w:rPr>
      </w:pPr>
    </w:p>
    <w:p w14:paraId="5A2AC95B" w14:textId="77777777" w:rsidR="009219F7" w:rsidRDefault="009219F7" w:rsidP="009219F7">
      <w:pPr>
        <w:pStyle w:val="Tekstkomentarza"/>
        <w:spacing w:before="120" w:after="120"/>
        <w:ind w:left="851"/>
        <w:jc w:val="both"/>
        <w:rPr>
          <w:sz w:val="24"/>
          <w:szCs w:val="24"/>
        </w:rPr>
      </w:pPr>
      <w:r w:rsidRPr="00214960">
        <w:rPr>
          <w:rFonts w:eastAsia="MS Mincho"/>
          <w:bCs/>
          <w:i/>
          <w:iCs/>
          <w:sz w:val="24"/>
          <w:szCs w:val="24"/>
        </w:rPr>
        <w:t>UWAGA!</w:t>
      </w:r>
    </w:p>
    <w:p w14:paraId="367B9CCC" w14:textId="77777777" w:rsidR="009219F7" w:rsidRPr="00214960" w:rsidRDefault="009219F7" w:rsidP="009219F7">
      <w:pPr>
        <w:pStyle w:val="Tekstkomentarza"/>
        <w:spacing w:before="120" w:after="120"/>
        <w:ind w:left="851"/>
        <w:jc w:val="both"/>
        <w:rPr>
          <w:sz w:val="24"/>
          <w:szCs w:val="24"/>
        </w:rPr>
      </w:pPr>
      <w:r w:rsidRPr="00F02AE3">
        <w:rPr>
          <w:rFonts w:eastAsia="MS Mincho"/>
          <w:bCs/>
          <w:i/>
          <w:iCs/>
          <w:sz w:val="24"/>
          <w:szCs w:val="24"/>
        </w:rPr>
        <w:t>Zamawiający dopuszcza możliwość wykazania się jednym zamówieniem-umową, o ile w zakresie przedmiotu zamówienia było wybudowanie więcej niż 1 budynku wielorodzinnego lub budynku użyteczności publicznej, pod warunkiem że każdy z tych budynków będzie spełniał postawiony powyżej warunek.</w:t>
      </w:r>
    </w:p>
    <w:p w14:paraId="3F3B17CD" w14:textId="77777777" w:rsidR="009219F7" w:rsidRPr="00F02AE3" w:rsidRDefault="009219F7" w:rsidP="009219F7">
      <w:pPr>
        <w:pStyle w:val="Tekstkomentarza"/>
        <w:jc w:val="both"/>
        <w:rPr>
          <w:sz w:val="24"/>
          <w:szCs w:val="24"/>
        </w:rPr>
      </w:pPr>
      <w:r>
        <w:rPr>
          <w:sz w:val="24"/>
          <w:szCs w:val="24"/>
        </w:rPr>
        <w:t>(…)”</w:t>
      </w:r>
    </w:p>
    <w:p w14:paraId="589A2EB0" w14:textId="794A7FE4" w:rsidR="00695BEF" w:rsidRDefault="00695BEF" w:rsidP="006B525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/>
        <w:ind w:left="284" w:hanging="284"/>
        <w:jc w:val="both"/>
        <w:rPr>
          <w:bCs/>
          <w:lang w:val="en-US"/>
        </w:rPr>
      </w:pPr>
      <w:r w:rsidRPr="00B87894">
        <w:rPr>
          <w:bCs/>
        </w:rPr>
        <w:t xml:space="preserve">Rozdz. </w:t>
      </w:r>
      <w:r w:rsidRPr="00695BEF">
        <w:rPr>
          <w:bCs/>
          <w:lang w:val="en-US"/>
        </w:rPr>
        <w:t xml:space="preserve">XVI </w:t>
      </w:r>
      <w:proofErr w:type="spellStart"/>
      <w:r w:rsidRPr="00695BEF">
        <w:rPr>
          <w:bCs/>
          <w:lang w:val="en-US"/>
        </w:rPr>
        <w:t>ust</w:t>
      </w:r>
      <w:proofErr w:type="spellEnd"/>
      <w:r w:rsidRPr="00695BEF">
        <w:rPr>
          <w:bCs/>
          <w:lang w:val="en-US"/>
        </w:rPr>
        <w:t xml:space="preserve">. </w:t>
      </w:r>
      <w:r>
        <w:rPr>
          <w:bCs/>
          <w:lang w:val="en-US"/>
        </w:rPr>
        <w:t>2</w:t>
      </w:r>
    </w:p>
    <w:p w14:paraId="118A9296" w14:textId="77777777" w:rsidR="00695BEF" w:rsidRPr="00B87894" w:rsidRDefault="00695BEF" w:rsidP="00695BEF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bCs/>
        </w:rPr>
      </w:pPr>
      <w:r w:rsidRPr="00B87894">
        <w:rPr>
          <w:bCs/>
        </w:rPr>
        <w:t>jest</w:t>
      </w:r>
    </w:p>
    <w:p w14:paraId="0C263068" w14:textId="77777777" w:rsidR="00695BEF" w:rsidRDefault="00695BEF" w:rsidP="00695BEF">
      <w:pPr>
        <w:contextualSpacing/>
        <w:jc w:val="both"/>
        <w:rPr>
          <w:bCs/>
        </w:rPr>
      </w:pPr>
      <w:r w:rsidRPr="002165D6">
        <w:rPr>
          <w:bCs/>
        </w:rPr>
        <w:t>„</w:t>
      </w:r>
      <w:r>
        <w:rPr>
          <w:bCs/>
        </w:rPr>
        <w:t>(…)</w:t>
      </w:r>
    </w:p>
    <w:p w14:paraId="7DC07DE4" w14:textId="77777777" w:rsidR="00706EAB" w:rsidRDefault="00695BEF" w:rsidP="00706EAB">
      <w:pPr>
        <w:widowControl w:val="0"/>
        <w:suppressAutoHyphens/>
        <w:autoSpaceDN w:val="0"/>
        <w:jc w:val="both"/>
        <w:textAlignment w:val="baseline"/>
      </w:pPr>
      <w:r w:rsidRPr="00F02AE3">
        <w:t>W odniesieniu do warunków dotyczących doświadczenia Wykonawcy mogą polegać na zdolnościach podmiotów udostępniających zasoby, jeśli podmioty te wykonają roboty, do realizacji których te zdolności są wymagane.</w:t>
      </w:r>
    </w:p>
    <w:p w14:paraId="3E52843D" w14:textId="10F763E8" w:rsidR="00706EAB" w:rsidRDefault="00695BEF" w:rsidP="00706EAB">
      <w:pPr>
        <w:widowControl w:val="0"/>
        <w:suppressAutoHyphens/>
        <w:autoSpaceDN w:val="0"/>
        <w:jc w:val="both"/>
        <w:textAlignment w:val="baseline"/>
      </w:pPr>
      <w:r w:rsidRPr="00F02AE3">
        <w:t>W przypadku, gdy Wykonawca polega na zasobach podmiotu udostępniającego zasoby</w:t>
      </w:r>
    </w:p>
    <w:p w14:paraId="33159466" w14:textId="2D5749C7" w:rsidR="00695BEF" w:rsidRPr="00F02AE3" w:rsidRDefault="00695BEF" w:rsidP="00706EAB">
      <w:pPr>
        <w:pStyle w:val="Akapitzlist"/>
        <w:numPr>
          <w:ilvl w:val="1"/>
          <w:numId w:val="10"/>
        </w:numPr>
        <w:ind w:left="284" w:hanging="284"/>
        <w:contextualSpacing w:val="0"/>
        <w:jc w:val="both"/>
      </w:pPr>
      <w:r w:rsidRPr="00F02AE3">
        <w:rPr>
          <w:b/>
        </w:rPr>
        <w:t>warunek</w:t>
      </w:r>
      <w:r w:rsidRPr="00F02AE3">
        <w:t xml:space="preserve">, o którym mowa w rozdz. XIV ust. 1 pkt 2) lit c) tiret pierwszy </w:t>
      </w:r>
      <w:r w:rsidRPr="00F02AE3">
        <w:rPr>
          <w:b/>
          <w:bCs/>
        </w:rPr>
        <w:t>nie podlega sumowaniu</w:t>
      </w:r>
      <w:r w:rsidRPr="00F02AE3">
        <w:t xml:space="preserve">, </w:t>
      </w:r>
    </w:p>
    <w:p w14:paraId="5DEAEDE6" w14:textId="13FE4B1C" w:rsidR="00695BEF" w:rsidRPr="00F02AE3" w:rsidRDefault="00695BEF" w:rsidP="00706EAB">
      <w:pPr>
        <w:pStyle w:val="Akapitzlist"/>
        <w:numPr>
          <w:ilvl w:val="1"/>
          <w:numId w:val="10"/>
        </w:numPr>
        <w:ind w:left="284" w:hanging="284"/>
        <w:contextualSpacing w:val="0"/>
        <w:jc w:val="both"/>
        <w:rPr>
          <w:b/>
          <w:bCs/>
        </w:rPr>
      </w:pPr>
      <w:r w:rsidRPr="00F02AE3">
        <w:rPr>
          <w:b/>
        </w:rPr>
        <w:t>warunk</w:t>
      </w:r>
      <w:r w:rsidRPr="00F02AE3">
        <w:t xml:space="preserve">i o których mowa w rozdz. XIV ust. 1 pkt 2) lit c) tiret drugi i trzeci, </w:t>
      </w:r>
      <w:r w:rsidRPr="00F02AE3">
        <w:rPr>
          <w:b/>
          <w:bCs/>
        </w:rPr>
        <w:t>podlegają sumowaniu,</w:t>
      </w:r>
    </w:p>
    <w:p w14:paraId="18B574C6" w14:textId="5B28B99E" w:rsidR="00695BEF" w:rsidRPr="00F02AE3" w:rsidRDefault="00695BEF" w:rsidP="00706EAB">
      <w:pPr>
        <w:pStyle w:val="Akapitzlist"/>
        <w:numPr>
          <w:ilvl w:val="1"/>
          <w:numId w:val="10"/>
        </w:numPr>
        <w:ind w:left="284" w:hanging="284"/>
        <w:contextualSpacing w:val="0"/>
        <w:jc w:val="both"/>
        <w:rPr>
          <w:b/>
          <w:bCs/>
        </w:rPr>
      </w:pPr>
      <w:r w:rsidRPr="00F02AE3">
        <w:rPr>
          <w:b/>
          <w:bCs/>
        </w:rPr>
        <w:t xml:space="preserve">warunek, </w:t>
      </w:r>
      <w:r w:rsidRPr="00F02AE3">
        <w:t xml:space="preserve">o którym mowa w rozdz. XIV ust. 1 pkt 2) lit d) tiret drugi </w:t>
      </w:r>
      <w:proofErr w:type="spellStart"/>
      <w:r w:rsidRPr="00F02AE3">
        <w:t>ppkt</w:t>
      </w:r>
      <w:proofErr w:type="spellEnd"/>
      <w:r w:rsidRPr="00F02AE3">
        <w:t xml:space="preserve"> 1), </w:t>
      </w:r>
      <w:r w:rsidRPr="00F02AE3">
        <w:rPr>
          <w:b/>
          <w:bCs/>
        </w:rPr>
        <w:t>nie podlega sumowaniu,</w:t>
      </w:r>
    </w:p>
    <w:p w14:paraId="044D946B" w14:textId="0EC51865" w:rsidR="00695BEF" w:rsidRPr="00F02AE3" w:rsidRDefault="00695BEF" w:rsidP="00706EAB">
      <w:pPr>
        <w:pStyle w:val="Akapitzlist"/>
        <w:numPr>
          <w:ilvl w:val="0"/>
          <w:numId w:val="10"/>
        </w:numPr>
        <w:ind w:left="284" w:hanging="284"/>
        <w:contextualSpacing w:val="0"/>
        <w:jc w:val="both"/>
      </w:pPr>
      <w:r w:rsidRPr="00F02AE3">
        <w:rPr>
          <w:b/>
          <w:bCs/>
        </w:rPr>
        <w:t xml:space="preserve">warunki, </w:t>
      </w:r>
      <w:r w:rsidRPr="00F02AE3">
        <w:t xml:space="preserve">o których mowa w rozdz. XIV ust. 1 pkt 2) lit d) tiret drugi </w:t>
      </w:r>
      <w:proofErr w:type="spellStart"/>
      <w:r w:rsidRPr="00F02AE3">
        <w:t>ppkt</w:t>
      </w:r>
      <w:proofErr w:type="spellEnd"/>
      <w:r w:rsidRPr="00F02AE3">
        <w:t xml:space="preserve"> 1), 2), 3), </w:t>
      </w:r>
      <w:r w:rsidRPr="00F02AE3">
        <w:rPr>
          <w:b/>
          <w:bCs/>
        </w:rPr>
        <w:t>podlegają sumowaniu</w:t>
      </w:r>
      <w:r w:rsidRPr="00F02AE3">
        <w:t xml:space="preserve">, </w:t>
      </w:r>
      <w:r w:rsidRPr="00F02AE3">
        <w:rPr>
          <w:b/>
        </w:rPr>
        <w:t xml:space="preserve">z zastrzeżeniem </w:t>
      </w:r>
      <w:proofErr w:type="spellStart"/>
      <w:r w:rsidRPr="00F02AE3">
        <w:rPr>
          <w:b/>
        </w:rPr>
        <w:t>tiretu</w:t>
      </w:r>
      <w:proofErr w:type="spellEnd"/>
      <w:r w:rsidRPr="00F02AE3">
        <w:rPr>
          <w:b/>
        </w:rPr>
        <w:t xml:space="preserve"> trzeciego powyżej.</w:t>
      </w:r>
    </w:p>
    <w:p w14:paraId="5E78CFAD" w14:textId="7FF377CD" w:rsidR="00695BEF" w:rsidRPr="00695BEF" w:rsidRDefault="00706EAB" w:rsidP="00706EA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(…)”</w:t>
      </w:r>
    </w:p>
    <w:p w14:paraId="37B9B83E" w14:textId="77777777" w:rsidR="00706EAB" w:rsidRPr="00D24FFD" w:rsidRDefault="00706EAB" w:rsidP="00706EA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b/>
          <w:bCs/>
        </w:rPr>
      </w:pPr>
      <w:r w:rsidRPr="00D24FFD">
        <w:rPr>
          <w:b/>
          <w:bCs/>
        </w:rPr>
        <w:t>winno być</w:t>
      </w:r>
    </w:p>
    <w:p w14:paraId="7DEC4532" w14:textId="77777777" w:rsidR="00706EAB" w:rsidRDefault="00706EAB" w:rsidP="00706EAB">
      <w:pPr>
        <w:contextualSpacing/>
        <w:jc w:val="both"/>
        <w:rPr>
          <w:bCs/>
        </w:rPr>
      </w:pPr>
      <w:r w:rsidRPr="002165D6">
        <w:rPr>
          <w:bCs/>
        </w:rPr>
        <w:t>„</w:t>
      </w:r>
      <w:r>
        <w:rPr>
          <w:bCs/>
        </w:rPr>
        <w:t>(…)</w:t>
      </w:r>
    </w:p>
    <w:p w14:paraId="6C2783D4" w14:textId="77777777" w:rsidR="00706EAB" w:rsidRDefault="00706EAB" w:rsidP="00706EAB">
      <w:pPr>
        <w:widowControl w:val="0"/>
        <w:suppressAutoHyphens/>
        <w:autoSpaceDN w:val="0"/>
        <w:jc w:val="both"/>
        <w:textAlignment w:val="baseline"/>
      </w:pPr>
      <w:r w:rsidRPr="00F02AE3">
        <w:t>W odniesieniu do warunków dotyczących doświadczenia Wykonawcy mogą polegać na zdolnościach podmiotów udostępniających zasoby, jeśli podmioty te wykonają roboty, do realizacji których te zdolności są wymagane.</w:t>
      </w:r>
    </w:p>
    <w:p w14:paraId="42F93A5A" w14:textId="77777777" w:rsidR="00706EAB" w:rsidRDefault="00706EAB" w:rsidP="00706EAB">
      <w:pPr>
        <w:widowControl w:val="0"/>
        <w:suppressAutoHyphens/>
        <w:autoSpaceDN w:val="0"/>
        <w:jc w:val="both"/>
        <w:textAlignment w:val="baseline"/>
      </w:pPr>
      <w:r w:rsidRPr="00F02AE3">
        <w:t>W przypadku, gdy Wykonawca polega na zasobach podmiotu udostępniającego zasoby</w:t>
      </w:r>
    </w:p>
    <w:p w14:paraId="6E405C8B" w14:textId="77777777" w:rsidR="00706EAB" w:rsidRPr="00F02AE3" w:rsidRDefault="00706EAB" w:rsidP="00706EAB">
      <w:pPr>
        <w:pStyle w:val="Akapitzlist"/>
        <w:numPr>
          <w:ilvl w:val="1"/>
          <w:numId w:val="10"/>
        </w:numPr>
        <w:ind w:left="284" w:hanging="284"/>
        <w:contextualSpacing w:val="0"/>
        <w:jc w:val="both"/>
      </w:pPr>
      <w:r w:rsidRPr="00F02AE3">
        <w:rPr>
          <w:b/>
        </w:rPr>
        <w:t>warunek</w:t>
      </w:r>
      <w:r w:rsidRPr="00F02AE3">
        <w:t xml:space="preserve">, o którym mowa w rozdz. XIV ust. 1 pkt 2) lit c) tiret pierwszy </w:t>
      </w:r>
      <w:r w:rsidRPr="00F02AE3">
        <w:rPr>
          <w:b/>
          <w:bCs/>
        </w:rPr>
        <w:t>nie podlega sumowaniu</w:t>
      </w:r>
      <w:r w:rsidRPr="00F02AE3">
        <w:t xml:space="preserve">, </w:t>
      </w:r>
    </w:p>
    <w:p w14:paraId="362B3622" w14:textId="77777777" w:rsidR="00706EAB" w:rsidRPr="00F02AE3" w:rsidRDefault="00706EAB" w:rsidP="00706EAB">
      <w:pPr>
        <w:pStyle w:val="Akapitzlist"/>
        <w:numPr>
          <w:ilvl w:val="1"/>
          <w:numId w:val="10"/>
        </w:numPr>
        <w:ind w:left="284" w:hanging="284"/>
        <w:contextualSpacing w:val="0"/>
        <w:jc w:val="both"/>
        <w:rPr>
          <w:b/>
          <w:bCs/>
        </w:rPr>
      </w:pPr>
      <w:r w:rsidRPr="00F02AE3">
        <w:rPr>
          <w:b/>
        </w:rPr>
        <w:t>warunk</w:t>
      </w:r>
      <w:r w:rsidRPr="00F02AE3">
        <w:t xml:space="preserve">i o których mowa w rozdz. XIV ust. 1 pkt 2) lit c) tiret drugi i trzeci, </w:t>
      </w:r>
      <w:r w:rsidRPr="00F02AE3">
        <w:rPr>
          <w:b/>
          <w:bCs/>
        </w:rPr>
        <w:t>podlegają sumowaniu,</w:t>
      </w:r>
    </w:p>
    <w:p w14:paraId="32C89716" w14:textId="588E2736" w:rsidR="00706EAB" w:rsidRPr="00F02AE3" w:rsidRDefault="00706EAB" w:rsidP="00706EAB">
      <w:pPr>
        <w:pStyle w:val="Akapitzlist"/>
        <w:numPr>
          <w:ilvl w:val="1"/>
          <w:numId w:val="10"/>
        </w:numPr>
        <w:ind w:left="284" w:hanging="284"/>
        <w:contextualSpacing w:val="0"/>
        <w:jc w:val="both"/>
        <w:rPr>
          <w:b/>
          <w:bCs/>
        </w:rPr>
      </w:pPr>
      <w:r w:rsidRPr="00F02AE3">
        <w:rPr>
          <w:b/>
          <w:bCs/>
        </w:rPr>
        <w:t xml:space="preserve">warunek, </w:t>
      </w:r>
      <w:r w:rsidRPr="00F02AE3">
        <w:t xml:space="preserve">o którym mowa w rozdz. XIV ust. 1 pkt 2) lit d) tiret drugi </w:t>
      </w:r>
      <w:proofErr w:type="spellStart"/>
      <w:r w:rsidRPr="00F02AE3">
        <w:t>ppkt</w:t>
      </w:r>
      <w:proofErr w:type="spellEnd"/>
      <w:r w:rsidRPr="00F02AE3">
        <w:t xml:space="preserve"> 1), </w:t>
      </w:r>
      <w:r w:rsidRPr="00F02AE3">
        <w:rPr>
          <w:b/>
          <w:bCs/>
        </w:rPr>
        <w:t>podlega sumowaniu,</w:t>
      </w:r>
    </w:p>
    <w:p w14:paraId="5458ED93" w14:textId="4E6E1A4B" w:rsidR="00706EAB" w:rsidRPr="00F02AE3" w:rsidRDefault="00706EAB" w:rsidP="00706EAB">
      <w:pPr>
        <w:pStyle w:val="Akapitzlist"/>
        <w:numPr>
          <w:ilvl w:val="0"/>
          <w:numId w:val="10"/>
        </w:numPr>
        <w:ind w:left="284" w:hanging="284"/>
        <w:contextualSpacing w:val="0"/>
        <w:jc w:val="both"/>
      </w:pPr>
      <w:r w:rsidRPr="00F02AE3">
        <w:rPr>
          <w:b/>
          <w:bCs/>
        </w:rPr>
        <w:t xml:space="preserve">warunki, </w:t>
      </w:r>
      <w:r w:rsidRPr="00F02AE3">
        <w:t xml:space="preserve">o których mowa w rozdz. XIV ust. 1 pkt 2) lit d) tiret drugi </w:t>
      </w:r>
      <w:proofErr w:type="spellStart"/>
      <w:r w:rsidRPr="00F02AE3">
        <w:t>ppkt</w:t>
      </w:r>
      <w:proofErr w:type="spellEnd"/>
      <w:r w:rsidRPr="00F02AE3">
        <w:t xml:space="preserve"> 1), 2), 3), </w:t>
      </w:r>
      <w:r w:rsidRPr="00F02AE3">
        <w:rPr>
          <w:b/>
          <w:bCs/>
        </w:rPr>
        <w:t>podlegają sumowaniu</w:t>
      </w:r>
      <w:r>
        <w:t>.</w:t>
      </w:r>
    </w:p>
    <w:p w14:paraId="729EFE49" w14:textId="77777777" w:rsidR="00706EAB" w:rsidRPr="00695BEF" w:rsidRDefault="00706EAB" w:rsidP="00706EA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(…)”</w:t>
      </w:r>
    </w:p>
    <w:p w14:paraId="546D3D74" w14:textId="1458EBD7" w:rsidR="005A6B97" w:rsidRDefault="005A6B97" w:rsidP="006B525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/>
        <w:ind w:left="284" w:hanging="284"/>
        <w:jc w:val="both"/>
        <w:rPr>
          <w:bCs/>
        </w:rPr>
      </w:pPr>
      <w:r w:rsidRPr="005A6B97">
        <w:rPr>
          <w:bCs/>
        </w:rPr>
        <w:t>Rozdz. XV</w:t>
      </w:r>
      <w:r>
        <w:rPr>
          <w:bCs/>
        </w:rPr>
        <w:t>I</w:t>
      </w:r>
      <w:r w:rsidRPr="005A6B97">
        <w:rPr>
          <w:bCs/>
        </w:rPr>
        <w:t xml:space="preserve">I ust. </w:t>
      </w:r>
      <w:r>
        <w:rPr>
          <w:bCs/>
        </w:rPr>
        <w:t>4</w:t>
      </w:r>
    </w:p>
    <w:p w14:paraId="37F31AE7" w14:textId="77777777" w:rsidR="005A6B97" w:rsidRPr="00B87894" w:rsidRDefault="005A6B97" w:rsidP="005A6B97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bCs/>
        </w:rPr>
      </w:pPr>
      <w:r w:rsidRPr="00B87894">
        <w:rPr>
          <w:bCs/>
        </w:rPr>
        <w:t>jest</w:t>
      </w:r>
    </w:p>
    <w:p w14:paraId="045BE56A" w14:textId="77777777" w:rsidR="005A6B97" w:rsidRDefault="005A6B97" w:rsidP="005A6B97">
      <w:pPr>
        <w:contextualSpacing/>
        <w:jc w:val="both"/>
        <w:rPr>
          <w:bCs/>
        </w:rPr>
      </w:pPr>
      <w:r w:rsidRPr="002165D6">
        <w:rPr>
          <w:bCs/>
        </w:rPr>
        <w:t>„</w:t>
      </w:r>
      <w:r>
        <w:rPr>
          <w:bCs/>
        </w:rPr>
        <w:t>(…)</w:t>
      </w:r>
    </w:p>
    <w:p w14:paraId="6DD0F33B" w14:textId="77777777" w:rsidR="005A6B97" w:rsidRPr="00F02AE3" w:rsidRDefault="005A6B97" w:rsidP="00D51E6A">
      <w:pPr>
        <w:widowControl w:val="0"/>
        <w:suppressAutoHyphens/>
        <w:autoSpaceDN w:val="0"/>
        <w:jc w:val="both"/>
        <w:textAlignment w:val="baseline"/>
      </w:pPr>
      <w:r w:rsidRPr="00F02AE3">
        <w:t>Zamawiający w Rozdz. XIV ust. 1 pkt 2) SWZ postawił warunki udziału w postępowaniu, wśród postawionych warunków znajdują się takie, które podlegają tzw. „sumowaniu” oraz takie, które „sumowaniu” nie podlegają, i tak:</w:t>
      </w:r>
    </w:p>
    <w:p w14:paraId="04100AC9" w14:textId="19818C2F" w:rsidR="005A6B97" w:rsidRPr="00F02AE3" w:rsidRDefault="005A6B97" w:rsidP="005A6B97">
      <w:pPr>
        <w:pStyle w:val="Akapitzlist"/>
        <w:numPr>
          <w:ilvl w:val="0"/>
          <w:numId w:val="12"/>
        </w:numPr>
        <w:ind w:left="284" w:hanging="284"/>
        <w:contextualSpacing w:val="0"/>
        <w:jc w:val="both"/>
      </w:pPr>
      <w:bookmarkStart w:id="3" w:name="_Hlk152094470"/>
      <w:r w:rsidRPr="00F02AE3">
        <w:rPr>
          <w:b/>
        </w:rPr>
        <w:t>warunek</w:t>
      </w:r>
      <w:r w:rsidRPr="00F02AE3">
        <w:t xml:space="preserve">, o którym mowa w rozdz. XIV ust. 1 pkt 2) lit c) tiret pierwszy </w:t>
      </w:r>
      <w:r w:rsidRPr="00F02AE3">
        <w:rPr>
          <w:b/>
          <w:bCs/>
        </w:rPr>
        <w:t>nie podlega sumowaniu</w:t>
      </w:r>
      <w:r w:rsidRPr="00F02AE3">
        <w:t xml:space="preserve">, </w:t>
      </w:r>
    </w:p>
    <w:p w14:paraId="767A674E" w14:textId="7F529C5B" w:rsidR="005A6B97" w:rsidRPr="00F02AE3" w:rsidRDefault="005A6B97" w:rsidP="005A6B97">
      <w:pPr>
        <w:pStyle w:val="Akapitzlist"/>
        <w:numPr>
          <w:ilvl w:val="0"/>
          <w:numId w:val="12"/>
        </w:numPr>
        <w:ind w:left="284" w:hanging="284"/>
        <w:contextualSpacing w:val="0"/>
        <w:jc w:val="both"/>
        <w:rPr>
          <w:b/>
          <w:bCs/>
        </w:rPr>
      </w:pPr>
      <w:r w:rsidRPr="00F02AE3">
        <w:t xml:space="preserve">warunki o których mowa w rozdz. XIV ust. 1 pkt 2) lit c) tiret drugi i trzeci, </w:t>
      </w:r>
      <w:r w:rsidRPr="00F02AE3">
        <w:rPr>
          <w:b/>
          <w:bCs/>
        </w:rPr>
        <w:t>podlegają sumowaniu,</w:t>
      </w:r>
    </w:p>
    <w:p w14:paraId="50DA1492" w14:textId="406915D0" w:rsidR="005A6B97" w:rsidRPr="00F02AE3" w:rsidRDefault="005A6B97" w:rsidP="005A6B97">
      <w:pPr>
        <w:pStyle w:val="Akapitzlist"/>
        <w:numPr>
          <w:ilvl w:val="0"/>
          <w:numId w:val="12"/>
        </w:numPr>
        <w:ind w:left="284" w:hanging="284"/>
        <w:contextualSpacing w:val="0"/>
        <w:jc w:val="both"/>
        <w:rPr>
          <w:b/>
          <w:bCs/>
        </w:rPr>
      </w:pPr>
      <w:r w:rsidRPr="00F02AE3">
        <w:rPr>
          <w:b/>
          <w:bCs/>
        </w:rPr>
        <w:t xml:space="preserve">warunek, </w:t>
      </w:r>
      <w:r w:rsidRPr="00F02AE3">
        <w:t xml:space="preserve">o których mowa w rozdz. XIV ust. 1 pkt 2) lit d) tiret drugi </w:t>
      </w:r>
      <w:proofErr w:type="spellStart"/>
      <w:r w:rsidRPr="00F02AE3">
        <w:t>ppkt</w:t>
      </w:r>
      <w:proofErr w:type="spellEnd"/>
      <w:r w:rsidRPr="00F02AE3">
        <w:t xml:space="preserve"> 1), </w:t>
      </w:r>
      <w:r w:rsidRPr="00F02AE3">
        <w:rPr>
          <w:b/>
          <w:bCs/>
        </w:rPr>
        <w:t>nie podlegają sumowaniu,</w:t>
      </w:r>
    </w:p>
    <w:p w14:paraId="5953FAFB" w14:textId="272C0D08" w:rsidR="005A6B97" w:rsidRDefault="005A6B97" w:rsidP="005A6B97">
      <w:pPr>
        <w:pStyle w:val="Akapitzlist"/>
        <w:numPr>
          <w:ilvl w:val="0"/>
          <w:numId w:val="12"/>
        </w:numPr>
        <w:ind w:left="284" w:hanging="284"/>
        <w:contextualSpacing w:val="0"/>
        <w:jc w:val="both"/>
      </w:pPr>
      <w:r w:rsidRPr="00F02AE3">
        <w:rPr>
          <w:b/>
          <w:bCs/>
        </w:rPr>
        <w:t xml:space="preserve">warunki, </w:t>
      </w:r>
      <w:r w:rsidRPr="00F02AE3">
        <w:t xml:space="preserve">o których mowa w rozdz. XIV ust. 1 pkt 2) lit d) tiret drugi </w:t>
      </w:r>
      <w:proofErr w:type="spellStart"/>
      <w:r w:rsidRPr="00F02AE3">
        <w:t>ppkt</w:t>
      </w:r>
      <w:proofErr w:type="spellEnd"/>
      <w:r w:rsidRPr="00F02AE3">
        <w:t xml:space="preserve"> 1), 2), 3), </w:t>
      </w:r>
      <w:r w:rsidRPr="00F02AE3">
        <w:rPr>
          <w:b/>
          <w:bCs/>
        </w:rPr>
        <w:t>podlegają sumowaniu</w:t>
      </w:r>
      <w:bookmarkEnd w:id="3"/>
      <w:r w:rsidRPr="00F02AE3">
        <w:rPr>
          <w:b/>
          <w:bCs/>
        </w:rPr>
        <w:t xml:space="preserve">, z zastrzeżeniem </w:t>
      </w:r>
      <w:proofErr w:type="spellStart"/>
      <w:r w:rsidRPr="00F02AE3">
        <w:rPr>
          <w:b/>
          <w:bCs/>
        </w:rPr>
        <w:t>tiretu</w:t>
      </w:r>
      <w:proofErr w:type="spellEnd"/>
      <w:r w:rsidRPr="00F02AE3">
        <w:rPr>
          <w:b/>
          <w:bCs/>
        </w:rPr>
        <w:t xml:space="preserve"> trzeciego powyżej</w:t>
      </w:r>
      <w:r w:rsidR="00D51E6A" w:rsidRPr="00D51E6A">
        <w:t>.</w:t>
      </w:r>
    </w:p>
    <w:p w14:paraId="7EA588C8" w14:textId="09F980E3" w:rsidR="00D51E6A" w:rsidRPr="00F02AE3" w:rsidRDefault="00D51E6A" w:rsidP="00D51E6A">
      <w:pPr>
        <w:jc w:val="both"/>
      </w:pPr>
      <w:r>
        <w:t>(…)”</w:t>
      </w:r>
    </w:p>
    <w:p w14:paraId="1894A220" w14:textId="77777777" w:rsidR="00D51E6A" w:rsidRPr="00D24FFD" w:rsidRDefault="00D51E6A" w:rsidP="00D51E6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b/>
          <w:bCs/>
        </w:rPr>
      </w:pPr>
      <w:r w:rsidRPr="00D24FFD">
        <w:rPr>
          <w:b/>
          <w:bCs/>
        </w:rPr>
        <w:t>winno być</w:t>
      </w:r>
    </w:p>
    <w:p w14:paraId="191C6BE9" w14:textId="77777777" w:rsidR="00D51E6A" w:rsidRDefault="00D51E6A" w:rsidP="00D51E6A">
      <w:pPr>
        <w:contextualSpacing/>
        <w:jc w:val="both"/>
        <w:rPr>
          <w:bCs/>
        </w:rPr>
      </w:pPr>
      <w:r w:rsidRPr="002165D6">
        <w:rPr>
          <w:bCs/>
        </w:rPr>
        <w:t>„</w:t>
      </w:r>
      <w:r>
        <w:rPr>
          <w:bCs/>
        </w:rPr>
        <w:t>(…)</w:t>
      </w:r>
    </w:p>
    <w:p w14:paraId="314B88A4" w14:textId="77777777" w:rsidR="00D51E6A" w:rsidRPr="00F02AE3" w:rsidRDefault="00D51E6A" w:rsidP="00D51E6A">
      <w:pPr>
        <w:widowControl w:val="0"/>
        <w:suppressAutoHyphens/>
        <w:autoSpaceDN w:val="0"/>
        <w:jc w:val="both"/>
        <w:textAlignment w:val="baseline"/>
      </w:pPr>
      <w:r w:rsidRPr="00F02AE3">
        <w:t>Zamawiający w Rozdz. XIV ust. 1 pkt 2) SWZ postawił warunki udziału w postępowaniu, wśród postawionych warunków znajdują się takie, które podlegają tzw. „sumowaniu” oraz takie, które „sumowaniu” nie podlegają, i tak:</w:t>
      </w:r>
    </w:p>
    <w:p w14:paraId="39C5BABE" w14:textId="77777777" w:rsidR="00D51E6A" w:rsidRPr="00F02AE3" w:rsidRDefault="00D51E6A" w:rsidP="00D51E6A">
      <w:pPr>
        <w:pStyle w:val="Akapitzlist"/>
        <w:numPr>
          <w:ilvl w:val="0"/>
          <w:numId w:val="12"/>
        </w:numPr>
        <w:ind w:left="284" w:hanging="284"/>
        <w:contextualSpacing w:val="0"/>
        <w:jc w:val="both"/>
      </w:pPr>
      <w:r w:rsidRPr="00F02AE3">
        <w:rPr>
          <w:b/>
        </w:rPr>
        <w:t>warunek</w:t>
      </w:r>
      <w:r w:rsidRPr="00F02AE3">
        <w:t xml:space="preserve">, o którym mowa w rozdz. XIV ust. 1 pkt 2) lit c) tiret pierwszy </w:t>
      </w:r>
      <w:r w:rsidRPr="00F02AE3">
        <w:rPr>
          <w:b/>
          <w:bCs/>
        </w:rPr>
        <w:t>nie podlega sumowaniu</w:t>
      </w:r>
      <w:r w:rsidRPr="00F02AE3">
        <w:t xml:space="preserve">, </w:t>
      </w:r>
    </w:p>
    <w:p w14:paraId="7199E995" w14:textId="77777777" w:rsidR="00D51E6A" w:rsidRPr="00F02AE3" w:rsidRDefault="00D51E6A" w:rsidP="00D51E6A">
      <w:pPr>
        <w:pStyle w:val="Akapitzlist"/>
        <w:numPr>
          <w:ilvl w:val="0"/>
          <w:numId w:val="12"/>
        </w:numPr>
        <w:ind w:left="284" w:hanging="284"/>
        <w:contextualSpacing w:val="0"/>
        <w:jc w:val="both"/>
        <w:rPr>
          <w:b/>
          <w:bCs/>
        </w:rPr>
      </w:pPr>
      <w:r w:rsidRPr="00F02AE3">
        <w:t xml:space="preserve">warunki o których mowa w rozdz. XIV ust. 1 pkt 2) lit c) tiret drugi i trzeci, </w:t>
      </w:r>
      <w:r w:rsidRPr="00F02AE3">
        <w:rPr>
          <w:b/>
          <w:bCs/>
        </w:rPr>
        <w:t>podlegają sumowaniu,</w:t>
      </w:r>
    </w:p>
    <w:p w14:paraId="38A2DBCF" w14:textId="215B12EE" w:rsidR="00D51E6A" w:rsidRPr="00F02AE3" w:rsidRDefault="00D51E6A" w:rsidP="00D51E6A">
      <w:pPr>
        <w:pStyle w:val="Akapitzlist"/>
        <w:numPr>
          <w:ilvl w:val="0"/>
          <w:numId w:val="12"/>
        </w:numPr>
        <w:ind w:left="284" w:hanging="284"/>
        <w:contextualSpacing w:val="0"/>
        <w:jc w:val="both"/>
        <w:rPr>
          <w:b/>
          <w:bCs/>
        </w:rPr>
      </w:pPr>
      <w:r w:rsidRPr="00F02AE3">
        <w:rPr>
          <w:b/>
          <w:bCs/>
        </w:rPr>
        <w:t xml:space="preserve">warunek, </w:t>
      </w:r>
      <w:r w:rsidRPr="00F02AE3">
        <w:t xml:space="preserve">o których mowa w rozdz. XIV ust. 1 pkt 2) lit d) tiret drugi </w:t>
      </w:r>
      <w:proofErr w:type="spellStart"/>
      <w:r w:rsidRPr="00F02AE3">
        <w:t>ppkt</w:t>
      </w:r>
      <w:proofErr w:type="spellEnd"/>
      <w:r w:rsidRPr="00F02AE3">
        <w:t xml:space="preserve"> 1), </w:t>
      </w:r>
      <w:r w:rsidRPr="00F02AE3">
        <w:rPr>
          <w:b/>
          <w:bCs/>
        </w:rPr>
        <w:t>podlega sumowaniu,</w:t>
      </w:r>
    </w:p>
    <w:p w14:paraId="5AD77694" w14:textId="459A593B" w:rsidR="00D51E6A" w:rsidRDefault="00D51E6A" w:rsidP="00D51E6A">
      <w:pPr>
        <w:pStyle w:val="Akapitzlist"/>
        <w:numPr>
          <w:ilvl w:val="0"/>
          <w:numId w:val="12"/>
        </w:numPr>
        <w:ind w:left="284" w:hanging="284"/>
        <w:contextualSpacing w:val="0"/>
        <w:jc w:val="both"/>
      </w:pPr>
      <w:r w:rsidRPr="00F02AE3">
        <w:rPr>
          <w:b/>
          <w:bCs/>
        </w:rPr>
        <w:t xml:space="preserve">warunki, </w:t>
      </w:r>
      <w:r w:rsidRPr="00F02AE3">
        <w:t xml:space="preserve">o których mowa w rozdz. XIV ust. 1 pkt 2) lit d) tiret drugi </w:t>
      </w:r>
      <w:proofErr w:type="spellStart"/>
      <w:r w:rsidRPr="00F02AE3">
        <w:t>ppkt</w:t>
      </w:r>
      <w:proofErr w:type="spellEnd"/>
      <w:r w:rsidRPr="00F02AE3">
        <w:t xml:space="preserve"> 1), 2), 3), </w:t>
      </w:r>
      <w:r w:rsidRPr="00F02AE3">
        <w:rPr>
          <w:b/>
          <w:bCs/>
        </w:rPr>
        <w:t>podlegają sumowaniu</w:t>
      </w:r>
      <w:r w:rsidRPr="00D51E6A">
        <w:t>.</w:t>
      </w:r>
    </w:p>
    <w:p w14:paraId="16ECF890" w14:textId="77777777" w:rsidR="00D51E6A" w:rsidRPr="00F02AE3" w:rsidRDefault="00D51E6A" w:rsidP="00D51E6A">
      <w:pPr>
        <w:jc w:val="both"/>
      </w:pPr>
      <w:r>
        <w:t>(…)”</w:t>
      </w:r>
    </w:p>
    <w:p w14:paraId="118949D0" w14:textId="5DB719FF" w:rsidR="006B5250" w:rsidRPr="006B5250" w:rsidRDefault="006B5250" w:rsidP="006B525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/>
        <w:ind w:left="284" w:hanging="284"/>
        <w:jc w:val="both"/>
        <w:rPr>
          <w:bCs/>
        </w:rPr>
      </w:pPr>
      <w:r w:rsidRPr="006B5250">
        <w:rPr>
          <w:bCs/>
        </w:rPr>
        <w:t xml:space="preserve">Zamawiający informuje, że poprawia oczywistą omyłkę w ust. 3 </w:t>
      </w:r>
      <w:r w:rsidRPr="006B5250">
        <w:rPr>
          <w:b/>
          <w:i/>
          <w:iCs/>
        </w:rPr>
        <w:t>Załącznika nr 1 do SWZ</w:t>
      </w:r>
      <w:r w:rsidRPr="006B5250">
        <w:rPr>
          <w:bCs/>
        </w:rPr>
        <w:t xml:space="preserve"> poprzez wykreślenie w tabeli kolumny numer </w:t>
      </w:r>
      <w:r>
        <w:rPr>
          <w:bCs/>
        </w:rPr>
        <w:t>4 o nazwie „Podstawa dysponowania”</w:t>
      </w:r>
      <w:r w:rsidRPr="006B5250">
        <w:rPr>
          <w:bCs/>
        </w:rPr>
        <w:t xml:space="preserve"> i</w:t>
      </w:r>
      <w:r>
        <w:rPr>
          <w:bCs/>
        </w:rPr>
        <w:t> </w:t>
      </w:r>
      <w:r w:rsidRPr="006B5250">
        <w:rPr>
          <w:bCs/>
        </w:rPr>
        <w:t>w</w:t>
      </w:r>
      <w:r>
        <w:rPr>
          <w:bCs/>
        </w:rPr>
        <w:t> </w:t>
      </w:r>
      <w:r w:rsidRPr="006B5250">
        <w:rPr>
          <w:bCs/>
        </w:rPr>
        <w:t xml:space="preserve">związku z powyższym załącza poprawiony </w:t>
      </w:r>
      <w:r w:rsidRPr="006B5250">
        <w:rPr>
          <w:b/>
          <w:i/>
          <w:iCs/>
        </w:rPr>
        <w:t>Załącznik nr 1 do SWZ</w:t>
      </w:r>
      <w:r w:rsidRPr="006B5250">
        <w:rPr>
          <w:bCs/>
        </w:rPr>
        <w:t>.</w:t>
      </w:r>
    </w:p>
    <w:p w14:paraId="0D93DB02" w14:textId="77777777" w:rsidR="003C11EE" w:rsidRDefault="003C11EE" w:rsidP="00AF45E9">
      <w:pPr>
        <w:suppressAutoHyphens/>
        <w:jc w:val="both"/>
        <w:rPr>
          <w:sz w:val="20"/>
          <w:szCs w:val="20"/>
          <w:u w:val="single"/>
          <w:lang w:eastAsia="ar-SA"/>
        </w:rPr>
      </w:pPr>
    </w:p>
    <w:p w14:paraId="34BFDAEA" w14:textId="76E390B8" w:rsidR="00AF45E9" w:rsidRPr="00B5238A" w:rsidRDefault="00AF45E9" w:rsidP="00AF45E9">
      <w:pPr>
        <w:suppressAutoHyphens/>
        <w:jc w:val="both"/>
        <w:rPr>
          <w:sz w:val="20"/>
          <w:szCs w:val="20"/>
          <w:u w:val="single"/>
          <w:lang w:eastAsia="ar-SA"/>
        </w:rPr>
      </w:pPr>
      <w:r w:rsidRPr="00B5238A">
        <w:rPr>
          <w:sz w:val="20"/>
          <w:szCs w:val="20"/>
          <w:u w:val="single"/>
          <w:lang w:eastAsia="ar-SA"/>
        </w:rPr>
        <w:t>Otrzymują:</w:t>
      </w:r>
    </w:p>
    <w:p w14:paraId="46E53BAC" w14:textId="054BD2CF" w:rsidR="00AF45E9" w:rsidRDefault="006B5250" w:rsidP="00AF45E9">
      <w:pPr>
        <w:numPr>
          <w:ilvl w:val="0"/>
          <w:numId w:val="2"/>
        </w:numPr>
        <w:suppressAutoHyphens/>
        <w:ind w:left="284" w:hanging="28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wszyscy Wykonawcy</w:t>
      </w:r>
      <w:r w:rsidR="00AF45E9" w:rsidRPr="00B5238A">
        <w:rPr>
          <w:sz w:val="20"/>
          <w:szCs w:val="20"/>
          <w:lang w:eastAsia="ar-SA"/>
        </w:rPr>
        <w:t>,</w:t>
      </w:r>
    </w:p>
    <w:p w14:paraId="35499FD9" w14:textId="55F8DA8D" w:rsidR="002D5BF8" w:rsidRDefault="00AF45E9" w:rsidP="00AF45E9">
      <w:pPr>
        <w:numPr>
          <w:ilvl w:val="0"/>
          <w:numId w:val="2"/>
        </w:numPr>
        <w:suppressAutoHyphens/>
        <w:ind w:left="284" w:hanging="284"/>
        <w:jc w:val="both"/>
        <w:rPr>
          <w:sz w:val="20"/>
          <w:szCs w:val="20"/>
          <w:lang w:eastAsia="ar-SA"/>
        </w:rPr>
      </w:pPr>
      <w:r w:rsidRPr="00AF45E9">
        <w:rPr>
          <w:sz w:val="20"/>
          <w:szCs w:val="20"/>
          <w:lang w:eastAsia="ar-SA"/>
        </w:rPr>
        <w:t>aa.</w:t>
      </w:r>
    </w:p>
    <w:p w14:paraId="0E1FF995" w14:textId="77777777" w:rsidR="00D120F8" w:rsidRDefault="00D120F8" w:rsidP="00D120F8">
      <w:pPr>
        <w:suppressAutoHyphens/>
        <w:jc w:val="both"/>
        <w:rPr>
          <w:sz w:val="20"/>
          <w:szCs w:val="20"/>
          <w:lang w:eastAsia="ar-SA"/>
        </w:rPr>
      </w:pPr>
    </w:p>
    <w:p w14:paraId="26664EFC" w14:textId="77777777" w:rsidR="00D120F8" w:rsidRDefault="00D120F8" w:rsidP="00D120F8">
      <w:pPr>
        <w:suppressAutoHyphens/>
        <w:jc w:val="both"/>
        <w:rPr>
          <w:sz w:val="20"/>
          <w:szCs w:val="20"/>
          <w:lang w:eastAsia="ar-SA"/>
        </w:rPr>
      </w:pPr>
    </w:p>
    <w:p w14:paraId="45926966" w14:textId="77777777" w:rsidR="00D120F8" w:rsidRDefault="00D120F8" w:rsidP="00D120F8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PREZES ZARZĄDU</w:t>
      </w:r>
    </w:p>
    <w:p w14:paraId="1CE23D2E" w14:textId="77777777" w:rsidR="00D120F8" w:rsidRDefault="00D120F8" w:rsidP="00D120F8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Świdnickiego TBS sp. z o.o.</w:t>
      </w:r>
    </w:p>
    <w:p w14:paraId="5F59F2C6" w14:textId="2BB1935F" w:rsidR="00D120F8" w:rsidRPr="00AF45E9" w:rsidRDefault="00D120F8" w:rsidP="00D120F8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Marek Zawisza</w:t>
      </w:r>
    </w:p>
    <w:sectPr w:rsidR="00D120F8" w:rsidRPr="00AF45E9" w:rsidSect="00E20111">
      <w:footerReference w:type="default" r:id="rId1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D3E6A" w14:textId="77777777" w:rsidR="00E80FB2" w:rsidRDefault="00E80FB2" w:rsidP="00214960">
      <w:r>
        <w:separator/>
      </w:r>
    </w:p>
  </w:endnote>
  <w:endnote w:type="continuationSeparator" w:id="0">
    <w:p w14:paraId="295D6FB7" w14:textId="77777777" w:rsidR="00E80FB2" w:rsidRDefault="00E80FB2" w:rsidP="0021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91762524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5A9C445" w14:textId="1BF7D9FA" w:rsidR="004B39FE" w:rsidRPr="004B39FE" w:rsidRDefault="004B39FE" w:rsidP="004B39FE">
            <w:pPr>
              <w:pStyle w:val="Stopka"/>
              <w:jc w:val="center"/>
              <w:rPr>
                <w:sz w:val="20"/>
                <w:szCs w:val="20"/>
              </w:rPr>
            </w:pPr>
            <w:r w:rsidRPr="004B39FE">
              <w:rPr>
                <w:sz w:val="20"/>
                <w:szCs w:val="20"/>
              </w:rPr>
              <w:t xml:space="preserve">Strona </w:t>
            </w:r>
            <w:r w:rsidRPr="004B39FE">
              <w:rPr>
                <w:b/>
                <w:bCs/>
                <w:sz w:val="20"/>
                <w:szCs w:val="20"/>
              </w:rPr>
              <w:fldChar w:fldCharType="begin"/>
            </w:r>
            <w:r w:rsidRPr="004B39FE">
              <w:rPr>
                <w:b/>
                <w:bCs/>
                <w:sz w:val="20"/>
                <w:szCs w:val="20"/>
              </w:rPr>
              <w:instrText>PAGE</w:instrText>
            </w:r>
            <w:r w:rsidRPr="004B39FE">
              <w:rPr>
                <w:b/>
                <w:bCs/>
                <w:sz w:val="20"/>
                <w:szCs w:val="20"/>
              </w:rPr>
              <w:fldChar w:fldCharType="separate"/>
            </w:r>
            <w:r w:rsidRPr="004B39FE">
              <w:rPr>
                <w:b/>
                <w:bCs/>
                <w:sz w:val="20"/>
                <w:szCs w:val="20"/>
              </w:rPr>
              <w:t>2</w:t>
            </w:r>
            <w:r w:rsidRPr="004B39FE">
              <w:rPr>
                <w:b/>
                <w:bCs/>
                <w:sz w:val="20"/>
                <w:szCs w:val="20"/>
              </w:rPr>
              <w:fldChar w:fldCharType="end"/>
            </w:r>
            <w:r w:rsidRPr="004B39FE">
              <w:rPr>
                <w:sz w:val="20"/>
                <w:szCs w:val="20"/>
              </w:rPr>
              <w:t xml:space="preserve"> z </w:t>
            </w:r>
            <w:r w:rsidRPr="004B39FE">
              <w:rPr>
                <w:b/>
                <w:bCs/>
                <w:sz w:val="20"/>
                <w:szCs w:val="20"/>
              </w:rPr>
              <w:fldChar w:fldCharType="begin"/>
            </w:r>
            <w:r w:rsidRPr="004B39FE">
              <w:rPr>
                <w:b/>
                <w:bCs/>
                <w:sz w:val="20"/>
                <w:szCs w:val="20"/>
              </w:rPr>
              <w:instrText>NUMPAGES</w:instrText>
            </w:r>
            <w:r w:rsidRPr="004B39FE">
              <w:rPr>
                <w:b/>
                <w:bCs/>
                <w:sz w:val="20"/>
                <w:szCs w:val="20"/>
              </w:rPr>
              <w:fldChar w:fldCharType="separate"/>
            </w:r>
            <w:r w:rsidRPr="004B39FE">
              <w:rPr>
                <w:b/>
                <w:bCs/>
                <w:sz w:val="20"/>
                <w:szCs w:val="20"/>
              </w:rPr>
              <w:t>2</w:t>
            </w:r>
            <w:r w:rsidRPr="004B39F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BCC0E" w14:textId="77777777" w:rsidR="00E80FB2" w:rsidRDefault="00E80FB2" w:rsidP="00214960">
      <w:r>
        <w:separator/>
      </w:r>
    </w:p>
  </w:footnote>
  <w:footnote w:type="continuationSeparator" w:id="0">
    <w:p w14:paraId="4D7935DB" w14:textId="77777777" w:rsidR="00E80FB2" w:rsidRDefault="00E80FB2" w:rsidP="00214960">
      <w:r>
        <w:continuationSeparator/>
      </w:r>
    </w:p>
  </w:footnote>
  <w:footnote w:id="1">
    <w:p w14:paraId="2853411D" w14:textId="77777777" w:rsidR="00214960" w:rsidRPr="00CC06B2" w:rsidRDefault="00214960" w:rsidP="00214960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C06B2">
        <w:rPr>
          <w:rFonts w:ascii="Times New Roman" w:hAnsi="Times New Roman"/>
        </w:rPr>
        <w:t>Robota budowlana rozumiana jako „zamówienie-umowa”.</w:t>
      </w:r>
    </w:p>
  </w:footnote>
  <w:footnote w:id="2">
    <w:p w14:paraId="590CD735" w14:textId="77777777" w:rsidR="009219F7" w:rsidRPr="00CC06B2" w:rsidRDefault="009219F7" w:rsidP="009219F7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C06B2">
        <w:rPr>
          <w:rFonts w:ascii="Times New Roman" w:hAnsi="Times New Roman"/>
        </w:rPr>
        <w:t>Robota budowlana rozumiana jako „zamówienie-umowa”.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571B"/>
    <w:multiLevelType w:val="hybridMultilevel"/>
    <w:tmpl w:val="FAF2D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602"/>
    <w:multiLevelType w:val="multilevel"/>
    <w:tmpl w:val="82C64F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937140"/>
    <w:multiLevelType w:val="hybridMultilevel"/>
    <w:tmpl w:val="1FEAB802"/>
    <w:lvl w:ilvl="0" w:tplc="B4BC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BC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167D4"/>
    <w:multiLevelType w:val="hybridMultilevel"/>
    <w:tmpl w:val="0F463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A31BF"/>
    <w:multiLevelType w:val="hybridMultilevel"/>
    <w:tmpl w:val="6BE6D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C0873"/>
    <w:multiLevelType w:val="hybridMultilevel"/>
    <w:tmpl w:val="A8EE5CAA"/>
    <w:lvl w:ilvl="0" w:tplc="B4BC3D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175FFF"/>
    <w:multiLevelType w:val="multilevel"/>
    <w:tmpl w:val="F2C88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580448CA"/>
    <w:multiLevelType w:val="multilevel"/>
    <w:tmpl w:val="3FFAE04A"/>
    <w:lvl w:ilvl="0">
      <w:start w:val="1"/>
      <w:numFmt w:val="bullet"/>
      <w:lvlText w:val=""/>
      <w:lvlJc w:val="left"/>
      <w:pPr>
        <w:tabs>
          <w:tab w:val="num" w:pos="0"/>
        </w:tabs>
        <w:ind w:left="229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5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C128AF"/>
    <w:multiLevelType w:val="multilevel"/>
    <w:tmpl w:val="EFE600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EF3289B"/>
    <w:multiLevelType w:val="hybridMultilevel"/>
    <w:tmpl w:val="1D082318"/>
    <w:lvl w:ilvl="0" w:tplc="B4BC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A44B4"/>
    <w:multiLevelType w:val="multilevel"/>
    <w:tmpl w:val="EFE600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EF84D16"/>
    <w:multiLevelType w:val="hybridMultilevel"/>
    <w:tmpl w:val="F7089532"/>
    <w:lvl w:ilvl="0" w:tplc="00309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07459">
    <w:abstractNumId w:val="11"/>
  </w:num>
  <w:num w:numId="2" w16cid:durableId="894699850">
    <w:abstractNumId w:val="4"/>
  </w:num>
  <w:num w:numId="3" w16cid:durableId="1911185361">
    <w:abstractNumId w:val="1"/>
  </w:num>
  <w:num w:numId="4" w16cid:durableId="1112701362">
    <w:abstractNumId w:val="3"/>
  </w:num>
  <w:num w:numId="5" w16cid:durableId="465513758">
    <w:abstractNumId w:val="7"/>
  </w:num>
  <w:num w:numId="6" w16cid:durableId="185757523">
    <w:abstractNumId w:val="10"/>
  </w:num>
  <w:num w:numId="7" w16cid:durableId="1807312297">
    <w:abstractNumId w:val="8"/>
  </w:num>
  <w:num w:numId="8" w16cid:durableId="970667827">
    <w:abstractNumId w:val="9"/>
  </w:num>
  <w:num w:numId="9" w16cid:durableId="564688192">
    <w:abstractNumId w:val="0"/>
  </w:num>
  <w:num w:numId="10" w16cid:durableId="1924289681">
    <w:abstractNumId w:val="2"/>
  </w:num>
  <w:num w:numId="11" w16cid:durableId="912549822">
    <w:abstractNumId w:val="6"/>
  </w:num>
  <w:num w:numId="12" w16cid:durableId="100879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D0"/>
    <w:rsid w:val="000215A7"/>
    <w:rsid w:val="00044F4F"/>
    <w:rsid w:val="000D153C"/>
    <w:rsid w:val="000D331C"/>
    <w:rsid w:val="00103546"/>
    <w:rsid w:val="00150DDC"/>
    <w:rsid w:val="001F5BC4"/>
    <w:rsid w:val="00214960"/>
    <w:rsid w:val="002C6542"/>
    <w:rsid w:val="002D5BF8"/>
    <w:rsid w:val="002E39E1"/>
    <w:rsid w:val="0036341D"/>
    <w:rsid w:val="00366078"/>
    <w:rsid w:val="003C11EE"/>
    <w:rsid w:val="003D285E"/>
    <w:rsid w:val="00431448"/>
    <w:rsid w:val="004A106B"/>
    <w:rsid w:val="004B39FE"/>
    <w:rsid w:val="005460BE"/>
    <w:rsid w:val="00551460"/>
    <w:rsid w:val="00590CBF"/>
    <w:rsid w:val="005A6B97"/>
    <w:rsid w:val="005A722B"/>
    <w:rsid w:val="005C2827"/>
    <w:rsid w:val="005C3F3A"/>
    <w:rsid w:val="005E4BDE"/>
    <w:rsid w:val="006151B6"/>
    <w:rsid w:val="00674950"/>
    <w:rsid w:val="006778D3"/>
    <w:rsid w:val="0069228B"/>
    <w:rsid w:val="00695BEF"/>
    <w:rsid w:val="006B5250"/>
    <w:rsid w:val="00706EAB"/>
    <w:rsid w:val="007510D0"/>
    <w:rsid w:val="007F49E5"/>
    <w:rsid w:val="00820390"/>
    <w:rsid w:val="00820DFA"/>
    <w:rsid w:val="00821F5F"/>
    <w:rsid w:val="00843F8D"/>
    <w:rsid w:val="009219F7"/>
    <w:rsid w:val="009531B8"/>
    <w:rsid w:val="00984492"/>
    <w:rsid w:val="009C0715"/>
    <w:rsid w:val="00A023F2"/>
    <w:rsid w:val="00A7627A"/>
    <w:rsid w:val="00AE198B"/>
    <w:rsid w:val="00AE7104"/>
    <w:rsid w:val="00AF45E9"/>
    <w:rsid w:val="00B42204"/>
    <w:rsid w:val="00B66DBC"/>
    <w:rsid w:val="00BC0773"/>
    <w:rsid w:val="00C21B15"/>
    <w:rsid w:val="00C257FA"/>
    <w:rsid w:val="00CD3F85"/>
    <w:rsid w:val="00D045BE"/>
    <w:rsid w:val="00D120F8"/>
    <w:rsid w:val="00D27BB6"/>
    <w:rsid w:val="00D51E6A"/>
    <w:rsid w:val="00D9319F"/>
    <w:rsid w:val="00E20111"/>
    <w:rsid w:val="00E3710E"/>
    <w:rsid w:val="00E548A2"/>
    <w:rsid w:val="00E80FB2"/>
    <w:rsid w:val="00EC0C93"/>
    <w:rsid w:val="00ED135D"/>
    <w:rsid w:val="00EE337E"/>
    <w:rsid w:val="00F02086"/>
    <w:rsid w:val="00F17247"/>
    <w:rsid w:val="00FB44A0"/>
    <w:rsid w:val="00F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97D1"/>
  <w15:chartTrackingRefBased/>
  <w15:docId w15:val="{A0E36402-A465-4236-834F-F59A4EF5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10D0"/>
    <w:rPr>
      <w:color w:val="0563C1" w:themeColor="hyperlink"/>
      <w:u w:val="single"/>
    </w:rPr>
  </w:style>
  <w:style w:type="paragraph" w:styleId="Bezodstpw">
    <w:name w:val="No Spacing"/>
    <w:qFormat/>
    <w:rsid w:val="005C3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qFormat/>
    <w:rsid w:val="005C3F3A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E49"/>
    <w:rPr>
      <w:color w:val="605E5C"/>
      <w:shd w:val="clear" w:color="auto" w:fill="E1DFDD"/>
    </w:rPr>
  </w:style>
  <w:style w:type="paragraph" w:customStyle="1" w:styleId="Zwykytekst3">
    <w:name w:val="Zwykły tekst3"/>
    <w:basedOn w:val="Normalny"/>
    <w:rsid w:val="00214960"/>
    <w:pPr>
      <w:suppressAutoHyphens/>
      <w:jc w:val="center"/>
    </w:pPr>
    <w:rPr>
      <w:rFonts w:ascii="Courier New" w:eastAsia="SimSun" w:hAnsi="Courier New" w:cs="StarSymbol"/>
      <w:sz w:val="20"/>
      <w:szCs w:val="20"/>
      <w:lang w:eastAsia="ar-SA"/>
    </w:rPr>
  </w:style>
  <w:style w:type="paragraph" w:styleId="Tekstprzypisudolnego">
    <w:name w:val="footnote text"/>
    <w:aliases w:val="Podrozdział,Tekst przypisu Znak"/>
    <w:basedOn w:val="Normalny"/>
    <w:link w:val="TekstprzypisudolnegoZnak"/>
    <w:rsid w:val="00214960"/>
    <w:pPr>
      <w:widowControl w:val="0"/>
      <w:suppressAutoHyphens/>
      <w:autoSpaceDN w:val="0"/>
      <w:textAlignment w:val="baseline"/>
    </w:pPr>
    <w:rPr>
      <w:rFonts w:ascii="Tahoma" w:hAnsi="Tahoma"/>
      <w:kern w:val="3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214960"/>
    <w:rPr>
      <w:rFonts w:ascii="Tahoma" w:eastAsia="Times New Roman" w:hAnsi="Tahoma" w:cs="Times New Roman"/>
      <w:kern w:val="3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214960"/>
    <w:pPr>
      <w:widowControl w:val="0"/>
      <w:suppressAutoHyphens/>
      <w:autoSpaceDN w:val="0"/>
      <w:textAlignment w:val="baseline"/>
    </w:pPr>
    <w:rPr>
      <w:rFonts w:eastAsia="Arial"/>
      <w:kern w:val="3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4960"/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rsid w:val="00214960"/>
    <w:rPr>
      <w:rFonts w:cs="Times New Roman"/>
      <w:position w:val="0"/>
      <w:sz w:val="20"/>
      <w:vertAlign w:val="superscript"/>
    </w:rPr>
  </w:style>
  <w:style w:type="paragraph" w:styleId="Akapitzlist">
    <w:name w:val="List Paragraph"/>
    <w:aliases w:val="CW_Lista,Normalny1,Akapit z listą3,Akapit z listą31,Wypunktowanie,L1,Numerowanie,Akapit z listą5"/>
    <w:basedOn w:val="Normalny"/>
    <w:uiPriority w:val="34"/>
    <w:qFormat/>
    <w:rsid w:val="009219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39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9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9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-swidnic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ntakt@tbs-swidnic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zyta_przybylska</dc:creator>
  <cp:keywords/>
  <dc:description/>
  <cp:lastModifiedBy>Katarzyna Wrona</cp:lastModifiedBy>
  <cp:revision>34</cp:revision>
  <dcterms:created xsi:type="dcterms:W3CDTF">2024-03-08T07:31:00Z</dcterms:created>
  <dcterms:modified xsi:type="dcterms:W3CDTF">2024-08-12T09:11:00Z</dcterms:modified>
</cp:coreProperties>
</file>