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064E2B">
        <w:rPr>
          <w:rFonts w:cstheme="minorHAnsi"/>
          <w:b/>
          <w:szCs w:val="24"/>
        </w:rPr>
        <w:t>4/000192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9E2FBB" w:rsidRPr="009E2FBB">
        <w:rPr>
          <w:rFonts w:cstheme="minorHAnsi"/>
          <w:szCs w:val="24"/>
        </w:rPr>
        <w:t>Kurs prawo jazdy kat.</w:t>
      </w:r>
      <w:r w:rsidR="009E2FBB">
        <w:rPr>
          <w:rFonts w:cstheme="minorHAnsi"/>
          <w:szCs w:val="24"/>
        </w:rPr>
        <w:t xml:space="preserve"> </w:t>
      </w:r>
      <w:r w:rsidR="009E2FBB" w:rsidRPr="009E2FBB">
        <w:rPr>
          <w:rFonts w:cstheme="minorHAnsi"/>
          <w:szCs w:val="24"/>
        </w:rPr>
        <w:t>C i kwalifikacja wstępna 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E2FBB" w:rsidRPr="009E2FBB">
        <w:rPr>
          <w:rFonts w:cstheme="minorHAnsi"/>
          <w:b/>
          <w:szCs w:val="24"/>
        </w:rPr>
        <w:t>Kurs prawo jazdy kat.</w:t>
      </w:r>
      <w:r w:rsidR="009E2FBB">
        <w:rPr>
          <w:rFonts w:cstheme="minorHAnsi"/>
          <w:b/>
          <w:szCs w:val="24"/>
        </w:rPr>
        <w:t xml:space="preserve"> </w:t>
      </w:r>
      <w:r w:rsidR="009E2FBB" w:rsidRPr="009E2FBB">
        <w:rPr>
          <w:rFonts w:cstheme="minorHAnsi"/>
          <w:b/>
          <w:szCs w:val="24"/>
        </w:rPr>
        <w:t>C i kwalifikacja wstępna przyspieszona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E06BA2">
        <w:rPr>
          <w:rFonts w:cstheme="minorHAnsi"/>
          <w:szCs w:val="24"/>
        </w:rPr>
        <w:t>atowym Urzędzie Pracy w Radomiu</w:t>
      </w:r>
      <w:r w:rsidR="006D314F" w:rsidRPr="00E20497">
        <w:rPr>
          <w:rFonts w:cstheme="minorHAnsi"/>
          <w:szCs w:val="24"/>
        </w:rPr>
        <w:t xml:space="preserve"> </w:t>
      </w:r>
      <w:r w:rsidR="00E06BA2">
        <w:rPr>
          <w:rFonts w:cstheme="minorHAnsi"/>
          <w:szCs w:val="24"/>
        </w:rPr>
        <w:t>(osoba pracująca) .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9E2FBB">
        <w:rPr>
          <w:rFonts w:cstheme="minorHAnsi"/>
          <w:szCs w:val="24"/>
        </w:rPr>
        <w:t>Liczba godzin 190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64E2B">
        <w:rPr>
          <w:rFonts w:cstheme="minorHAnsi"/>
          <w:szCs w:val="24"/>
        </w:rPr>
        <w:t>22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E06BA2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64E2B">
        <w:rPr>
          <w:rFonts w:cstheme="minorHAnsi"/>
          <w:szCs w:val="24"/>
        </w:rPr>
        <w:t>22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E06BA2">
        <w:rPr>
          <w:rFonts w:cstheme="minorHAnsi"/>
          <w:szCs w:val="24"/>
        </w:rPr>
        <w:t>7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F0" w:rsidRDefault="002168F0" w:rsidP="00E20497">
      <w:pPr>
        <w:spacing w:before="0" w:line="240" w:lineRule="auto"/>
      </w:pPr>
      <w:r>
        <w:separator/>
      </w:r>
    </w:p>
  </w:endnote>
  <w:endnote w:type="continuationSeparator" w:id="0">
    <w:p w:rsidR="002168F0" w:rsidRDefault="002168F0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E2B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F0" w:rsidRDefault="002168F0" w:rsidP="00E20497">
      <w:pPr>
        <w:spacing w:before="0" w:line="240" w:lineRule="auto"/>
      </w:pPr>
      <w:r>
        <w:separator/>
      </w:r>
    </w:p>
  </w:footnote>
  <w:footnote w:type="continuationSeparator" w:id="0">
    <w:p w:rsidR="002168F0" w:rsidRDefault="002168F0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64E2B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168F0"/>
    <w:rsid w:val="00224AB3"/>
    <w:rsid w:val="00227122"/>
    <w:rsid w:val="00274E75"/>
    <w:rsid w:val="00284387"/>
    <w:rsid w:val="00287E77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66137"/>
    <w:rsid w:val="00871A3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132C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2E2C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0DC4-05E6-4CF3-9F8D-8D1CDEB5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15</cp:revision>
  <cp:lastPrinted>2024-01-09T08:15:00Z</cp:lastPrinted>
  <dcterms:created xsi:type="dcterms:W3CDTF">2024-02-15T11:55:00Z</dcterms:created>
  <dcterms:modified xsi:type="dcterms:W3CDTF">2024-07-16T09:33:00Z</dcterms:modified>
</cp:coreProperties>
</file>