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32" w:rsidRDefault="006D5432" w:rsidP="006D5432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ZAŁĄCZNIK Nr 1B</w:t>
      </w:r>
      <w:r w:rsidRPr="008C607A">
        <w:rPr>
          <w:rFonts w:ascii="Arial" w:hAnsi="Arial" w:cs="Arial"/>
          <w:b/>
          <w:sz w:val="16"/>
          <w:szCs w:val="16"/>
        </w:rPr>
        <w:t xml:space="preserve"> do SWZ</w:t>
      </w:r>
    </w:p>
    <w:p w:rsidR="006D5432" w:rsidRPr="008C607A" w:rsidRDefault="006D5432" w:rsidP="006D543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(dot. Pakietu nr 1)</w:t>
      </w:r>
    </w:p>
    <w:p w:rsidR="006D5432" w:rsidRPr="008C607A" w:rsidRDefault="006D5432" w:rsidP="006D5432">
      <w:pPr>
        <w:rPr>
          <w:rFonts w:ascii="Arial" w:hAnsi="Arial" w:cs="Arial"/>
          <w:b/>
          <w:sz w:val="16"/>
          <w:szCs w:val="16"/>
        </w:rPr>
      </w:pPr>
    </w:p>
    <w:p w:rsidR="006D5432" w:rsidRPr="008C607A" w:rsidRDefault="006D5432" w:rsidP="006D5432">
      <w:pPr>
        <w:pStyle w:val="Nagwek5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ZESTAWIENIE PARAMETRÓW I WARUNKÓW WYMAGANYCH</w:t>
      </w:r>
    </w:p>
    <w:p w:rsidR="006D5432" w:rsidRPr="008C607A" w:rsidRDefault="006D5432" w:rsidP="006D5432">
      <w:pPr>
        <w:rPr>
          <w:rFonts w:ascii="Arial" w:hAnsi="Arial" w:cs="Arial"/>
          <w:sz w:val="16"/>
          <w:szCs w:val="16"/>
        </w:rPr>
      </w:pPr>
    </w:p>
    <w:p w:rsidR="006D5432" w:rsidRPr="006D5432" w:rsidRDefault="006D5432" w:rsidP="006D5432">
      <w:pPr>
        <w:pStyle w:val="Tekstpodstawowy"/>
        <w:rPr>
          <w:rFonts w:ascii="Arial" w:hAnsi="Arial" w:cs="Arial"/>
          <w:sz w:val="16"/>
          <w:szCs w:val="16"/>
          <w:u w:val="single"/>
        </w:rPr>
      </w:pPr>
      <w:r w:rsidRPr="006D5432">
        <w:rPr>
          <w:rFonts w:ascii="Arial" w:hAnsi="Arial" w:cs="Arial"/>
          <w:sz w:val="16"/>
          <w:szCs w:val="16"/>
          <w:u w:val="single"/>
        </w:rPr>
        <w:t>Pakiet nr 1</w:t>
      </w:r>
    </w:p>
    <w:p w:rsidR="006D5432" w:rsidRPr="008C607A" w:rsidRDefault="006D5432" w:rsidP="006D5432">
      <w:pPr>
        <w:pStyle w:val="Tekstpodstawowy"/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 xml:space="preserve">Przedmiot zamówienia: </w:t>
      </w:r>
      <w:r w:rsidRPr="008C607A">
        <w:rPr>
          <w:rFonts w:ascii="Arial" w:hAnsi="Arial" w:cs="Arial"/>
          <w:color w:val="000000"/>
          <w:sz w:val="16"/>
          <w:szCs w:val="16"/>
          <w:shd w:val="clear" w:color="auto" w:fill="FFFFFF"/>
        </w:rPr>
        <w:t>Łóżko szpitalne wraz z szafką przyłóżkową – 16 szt.</w:t>
      </w:r>
    </w:p>
    <w:p w:rsidR="006D5432" w:rsidRPr="008C607A" w:rsidRDefault="006D5432" w:rsidP="006D5432">
      <w:pPr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Nazwa oferenta:</w:t>
      </w:r>
    </w:p>
    <w:p w:rsidR="006D5432" w:rsidRPr="008C607A" w:rsidRDefault="006D5432" w:rsidP="006D5432">
      <w:pPr>
        <w:rPr>
          <w:rFonts w:ascii="Arial" w:hAnsi="Arial" w:cs="Arial"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Producent:</w:t>
      </w:r>
    </w:p>
    <w:p w:rsidR="006D5432" w:rsidRPr="008C607A" w:rsidRDefault="006D5432" w:rsidP="006D5432">
      <w:pPr>
        <w:rPr>
          <w:rFonts w:ascii="Arial" w:hAnsi="Arial" w:cs="Arial"/>
          <w:b/>
          <w:sz w:val="16"/>
          <w:szCs w:val="16"/>
        </w:rPr>
      </w:pPr>
      <w:r w:rsidRPr="008C607A">
        <w:rPr>
          <w:rFonts w:ascii="Arial" w:hAnsi="Arial" w:cs="Arial"/>
          <w:sz w:val="16"/>
          <w:szCs w:val="16"/>
        </w:rPr>
        <w:t>Nazwa i typ</w:t>
      </w:r>
      <w:r w:rsidRPr="008C607A">
        <w:rPr>
          <w:rFonts w:ascii="Arial" w:hAnsi="Arial" w:cs="Arial"/>
          <w:b/>
          <w:sz w:val="16"/>
          <w:szCs w:val="16"/>
        </w:rPr>
        <w:t xml:space="preserve">: </w:t>
      </w:r>
    </w:p>
    <w:p w:rsidR="006D5432" w:rsidRPr="008C607A" w:rsidRDefault="006D5432" w:rsidP="006D5432">
      <w:pPr>
        <w:rPr>
          <w:rFonts w:ascii="Arial" w:hAnsi="Arial" w:cs="Arial"/>
          <w:sz w:val="16"/>
          <w:szCs w:val="16"/>
        </w:rPr>
      </w:pPr>
    </w:p>
    <w:tbl>
      <w:tblPr>
        <w:tblW w:w="1404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4689"/>
        <w:gridCol w:w="1417"/>
        <w:gridCol w:w="4526"/>
        <w:gridCol w:w="1149"/>
        <w:gridCol w:w="1701"/>
      </w:tblGrid>
      <w:tr w:rsidR="006D5432" w:rsidRPr="008C607A" w:rsidTr="00880AB3">
        <w:trPr>
          <w:gridAfter w:val="2"/>
          <w:wAfter w:w="2850" w:type="dxa"/>
          <w:trHeight w:val="960"/>
        </w:trPr>
        <w:tc>
          <w:tcPr>
            <w:tcW w:w="56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b/>
                <w:sz w:val="16"/>
                <w:szCs w:val="16"/>
              </w:rPr>
              <w:t>WYMAGANE PARAMETRY I WARUNKI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b/>
                <w:sz w:val="16"/>
                <w:szCs w:val="16"/>
              </w:rPr>
              <w:t>PARAMETR WYMAGANY</w:t>
            </w:r>
          </w:p>
        </w:tc>
        <w:tc>
          <w:tcPr>
            <w:tcW w:w="45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607A">
              <w:rPr>
                <w:rFonts w:ascii="Arial" w:hAnsi="Arial" w:cs="Arial"/>
                <w:b/>
                <w:sz w:val="16"/>
                <w:szCs w:val="16"/>
              </w:rPr>
              <w:t>PARAMETR OFEROWANY</w:t>
            </w:r>
          </w:p>
          <w:p w:rsidR="006D5432" w:rsidRPr="008C607A" w:rsidRDefault="006D5432" w:rsidP="00880AB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432" w:rsidRPr="008C607A" w:rsidRDefault="006D5432" w:rsidP="00880AB3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C607A">
              <w:rPr>
                <w:rFonts w:ascii="Arial" w:hAnsi="Arial" w:cs="Arial"/>
                <w:b/>
                <w:sz w:val="16"/>
                <w:szCs w:val="16"/>
                <w:u w:val="single"/>
              </w:rPr>
              <w:t>Wykonawca winien wskazać nr strony</w:t>
            </w:r>
            <w:r w:rsidRPr="008C607A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8C607A">
              <w:rPr>
                <w:rFonts w:ascii="Arial" w:hAnsi="Arial" w:cs="Arial"/>
                <w:b/>
                <w:sz w:val="16"/>
                <w:szCs w:val="16"/>
                <w:u w:val="single"/>
              </w:rPr>
              <w:t>na której w załączonych  przedmiotowych środkach dowodowych potwierdzone jest spełnienie parametru.</w:t>
            </w:r>
          </w:p>
          <w:p w:rsidR="006D5432" w:rsidRPr="008C607A" w:rsidRDefault="006D5432" w:rsidP="00880AB3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5432" w:rsidRPr="008C607A" w:rsidRDefault="006D5432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Jednocześnie Wykonawca w załączonych przedmiotowych środkach dowodowych winien </w:t>
            </w:r>
            <w:r w:rsidRPr="008C607A">
              <w:rPr>
                <w:rFonts w:ascii="Arial" w:hAnsi="Arial" w:cs="Arial"/>
                <w:b/>
                <w:sz w:val="16"/>
                <w:szCs w:val="16"/>
              </w:rPr>
              <w:t>wyraźnie wskazać </w:t>
            </w:r>
            <w:r w:rsidRPr="008C607A">
              <w:rPr>
                <w:rFonts w:ascii="Arial" w:hAnsi="Arial" w:cs="Arial"/>
                <w:sz w:val="16"/>
                <w:szCs w:val="16"/>
              </w:rPr>
              <w:t>przy opisywanym parametrze </w:t>
            </w:r>
            <w:r w:rsidRPr="008C607A">
              <w:rPr>
                <w:rFonts w:ascii="Arial" w:hAnsi="Arial" w:cs="Arial"/>
                <w:b/>
                <w:sz w:val="16"/>
                <w:szCs w:val="16"/>
              </w:rPr>
              <w:t>nr </w:t>
            </w:r>
            <w:r w:rsidRPr="008C607A">
              <w:rPr>
                <w:rFonts w:ascii="Arial" w:hAnsi="Arial" w:cs="Arial"/>
                <w:b/>
                <w:sz w:val="16"/>
                <w:szCs w:val="16"/>
              </w:rPr>
              <w:br/>
              <w:t>liczby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 porządkowej parametru wymaganego </w:t>
            </w:r>
            <w:r w:rsidRPr="008C607A">
              <w:rPr>
                <w:rFonts w:ascii="Arial" w:hAnsi="Arial" w:cs="Arial"/>
                <w:sz w:val="16"/>
                <w:szCs w:val="16"/>
              </w:rPr>
              <w:br/>
              <w:t>z niniejszego formularza.</w:t>
            </w:r>
          </w:p>
          <w:p w:rsidR="006D5432" w:rsidRPr="008C607A" w:rsidRDefault="006D5432" w:rsidP="00880AB3">
            <w:pPr>
              <w:pStyle w:val="Default"/>
              <w:tabs>
                <w:tab w:val="num" w:pos="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D5432" w:rsidRPr="008C607A" w:rsidRDefault="006D5432" w:rsidP="00880A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W przypadku zastosowania przez producenta innej nazwy parametru niż wymagany przez Zamawiającego, </w:t>
            </w:r>
            <w:r w:rsidRPr="008C607A">
              <w:rPr>
                <w:rFonts w:ascii="Arial" w:hAnsi="Arial" w:cs="Arial"/>
                <w:b/>
                <w:sz w:val="16"/>
                <w:szCs w:val="16"/>
              </w:rPr>
              <w:t>Wykonawca winien udokumentować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 i wykazać tożsamość nazwy parametru producenta z nazwą parametru wymaganego przez Zamawiającego.</w:t>
            </w:r>
          </w:p>
        </w:tc>
      </w:tr>
      <w:tr w:rsidR="006D5432" w:rsidRPr="008C607A" w:rsidTr="00880AB3">
        <w:trPr>
          <w:gridAfter w:val="2"/>
          <w:wAfter w:w="2850" w:type="dxa"/>
          <w:trHeight w:val="288"/>
        </w:trPr>
        <w:tc>
          <w:tcPr>
            <w:tcW w:w="1119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07A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Łóżko szpitalne wraz z szafką przyłóżkową – 16 szt.</w:t>
            </w: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Łóżko wytworzone w antybakteryjnej  technologii (w częściach tworzywowych i lakierze) - fabrycznie nowe. Rok produkcji 2024.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Zasilanie 230V~ 50/60Hz.</w:t>
            </w:r>
          </w:p>
          <w:p w:rsidR="006D5432" w:rsidRPr="008C607A" w:rsidRDefault="006D5432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Klasa ochrony przed porażeniem elektrycznym: II.</w:t>
            </w:r>
          </w:p>
          <w:p w:rsidR="006D5432" w:rsidRPr="008C607A" w:rsidRDefault="006D5432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Typ części aplikacyjnej B.</w:t>
            </w:r>
          </w:p>
          <w:p w:rsidR="006D5432" w:rsidRPr="008C607A" w:rsidRDefault="006D5432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Stopień ochrony przed wpływem środowiska IP-X4.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Szerokość całkowita łóżka z podniesionymi lub opuszczonymi poręczami bocznymi maksymalnie 1000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Całkowita długość łóżka: maksymalnie 2190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Łóżko przystosowane do materaca o wymiarach min. 2000 x 850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Wydłużenie leża min. 320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Ręczny pilot przewodowy sterujący następującymi funkcjami łóżka: </w:t>
            </w:r>
          </w:p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- zmiana wysokości leża, </w:t>
            </w:r>
          </w:p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- pochylenie oparcia pleców, </w:t>
            </w:r>
          </w:p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- pochylenie segmentu udowego, </w:t>
            </w:r>
          </w:p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- funkcja </w:t>
            </w:r>
            <w:proofErr w:type="spellStart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autokontur</w:t>
            </w:r>
            <w:proofErr w:type="spellEnd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Łóżko wielofunkcyjne, wielopozycyjne z pozycją krzesła kardiologicznego.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Leże łóżka podparte na konstrukcji pantografowej.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Leże łóżka czterosegmentowe, z trzema segmentami ruchomymi.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Elektryczna regulacja wysokości leża.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Minimalna wysokość leża od podłogi 370 mm</w:t>
            </w:r>
            <w:r w:rsidRPr="008C607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+/- 20 mm. Wymiar dotyczy powierzchni, na której spoczywa materac.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Maksymalna wysokość leża od podłogi 810 mm +/- 20 mm. Wymiar dotyczy powierzchni, na której spoczywa materac.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Elektryczna regulacja oparcia pleców w zakresie od 0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o </w:t>
            </w:r>
            <w:r w:rsidRPr="008C607A">
              <w:rPr>
                <w:rFonts w:ascii="Arial" w:hAnsi="Arial" w:cs="Arial"/>
                <w:sz w:val="16"/>
                <w:szCs w:val="16"/>
              </w:rPr>
              <w:t>do 70 stopni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+/- 3 stopnie.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Elektryczna regulacja pozycji 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 xml:space="preserve">: 16 stopni +/- 3 stopnie.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Elektryczna regulacja pozycji anty –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>: 17 stopni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+/- 3 stopnie.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Elektryczna regulacja funkcji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autokontur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 xml:space="preserve"> - jednoczesne uniesienia części plecowej do 70 stopni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+/- 3 stopnie oraz  segmentu uda do 40 stopni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+/- 3 stopnie.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Elektryczna regulacja segmentu uda w zakresie od 0 stopni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do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40 stopni +/- 3 stopnie.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Funkcja autoregresji oparcia pleców min. 120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System autoregresji totalnej (oparcie pleców + segment udowy) min. 165 mm zmniejszający ryzyko uszkodzenia kręgosłupa i szyjki kości udowej.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Łóżko wyposażone w centralny panel sterujący umieszczony na szczycie od strony nóg pacjenta (z możliwością zdjęcia go ze szczytu). Panel z diodową sygnalizacją podłączenia łóżka do sieci energetycznej.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Następujące pozycje leża uzyskiwane automatycznie, po naciśnięciu i przytrzymaniu odpowiedniego przycisku na panelu centralnym: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pozycja krzesła kardiologicznego,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- pozycja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antyszokowa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 xml:space="preserve"> (funkcja 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 xml:space="preserve"> ratunkowego),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pozycja do badań (maksymalnie podniesione i wypoziomowane leże),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pozycja Fowlera (jednocześnie leże łóżka obniża wysokość, a segmenty: oparcia pleców i uda unoszą się),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pozycja zerowa (elektryczny CPR).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Panel centralny wyposażony w przyciski służące do uzyskiwania pozycji wykorzystywanych przy tzw. wczesnej mobilizacji pacjenta: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ruch oparcia pleców do 30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>0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 oraz maksymalne podniesienie leża,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podniesione oparcie pleców, leże maksymalnie podniesione i pochylone w kierunku nóg,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Każda powyższa pozycja uzyskiwania ze specjalnie oznaczonego przycisku.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Dodatkowe przyciski na panelu centralnym do sterowania następującymi funkcjami łóżka:</w:t>
            </w: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 zmiana wysokości leża, pochylenie oparcia pleców, pochylenie segmentu udowego, funkcja </w:t>
            </w:r>
            <w:proofErr w:type="spellStart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autokontur</w:t>
            </w:r>
            <w:proofErr w:type="spellEnd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, funkcja </w:t>
            </w:r>
            <w:proofErr w:type="spellStart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Trendelenburga</w:t>
            </w:r>
            <w:proofErr w:type="spellEnd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 i anty-</w:t>
            </w:r>
            <w:proofErr w:type="spellStart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Trendelenburga</w:t>
            </w:r>
            <w:proofErr w:type="spellEnd"/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Selektywne blokowanie na panelu centralnym funkcji elektrycznych – z diodową informacją o zablokowanych funkcjach.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Na panelu jednoprzyciskowa blokada wszystkich funkcji za wyjątkiem funkcji ratunkowych (tj.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Trendelenburga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 xml:space="preserve"> ratunkowego i elektrycznego CPR).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Segment podudzia regulowany za pomocą mechanizmu zapadkowego.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Poręcze boczne tworzywowe,</w:t>
            </w:r>
            <w:r w:rsidRPr="008C607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podwójne, wytworzone z tworzywa z użyciem technologii powodującej hamowanie namnażania się bakterii i wirusów.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Poręcze boczne zabezpieczające pacjenta na całej długości leża.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Zwolnienie i opuszczenie każdej poręczy dokonywane jedną ręką.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Górna powierzchnia poręczy bocznych w części udowej (po ich opuszczeniu) nie wystająca ponad górną płaszczyznę materaca, aby wyeliminować ucisk na mięśnie i tętnice ud pacjenta.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Poręcze boczne w części oparcia pleców wyposażone w obustronne panele sterowania – zewnętrzne (od strony personelu) oraz wewnętrzne (od strony pacjenta).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Panele sterowania w poręczach bocznych z zabezpieczeniem przed przypadkowym użyciem – konieczność aktywacji panelu specjalnie oznaczonym przyciskiem.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Funkcje sterowane z paneli w poręczach bocznych od strony personelu: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regulacja wysokości leża,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regulacja kąta nachylenia segmentu pleców,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regulacja kąta nachylenia segmentu ud,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autokontur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przechyły wzdłużne leża (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Trendelenburg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 xml:space="preserve"> i anty-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Trendelenburg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Funkcje sterowane z paneli w poręczach bocznych od strony pacjenta: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regulacja wysokości leża,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regulacja kąta nachylenia segmentu pleców,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regulacja kąta nachylenia segmentu ud,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8C607A">
              <w:rPr>
                <w:rFonts w:ascii="Arial" w:hAnsi="Arial" w:cs="Arial"/>
                <w:sz w:val="16"/>
                <w:szCs w:val="16"/>
              </w:rPr>
              <w:t>autokontur</w:t>
            </w:r>
            <w:proofErr w:type="spellEnd"/>
            <w:r w:rsidRPr="008C607A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podświetlenie leża,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alarm akustyczny.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Dodatkowe panele sterowania w poręczach bocznych (w części oparcia pleców) – z przyciskami mobilizacji VEM. Funkcja pomocy w bardzo wczesnej mobilizacji pacjenta – pacjent podpiera się na poręczy zwiększając przyciskiem wysokość leża.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Wbudowany akumulator wykorzystywany do sterowania funkcjami łóżka w przypadku zaniku zasilania lub w przypadku przewożenia pacjenta.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Konstrukcja łóżka wykonana ze stali węglowej lakierowanej proszkowo z użyciem lakieru z nanotechnologią srebra powodującą hamowanie namnażania bakterii i wirusów. Dodatki antybakteryjne muszą być integralną zawartością składu lakieru.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Ruchome segmenty leża wypełnione płytami laminatowymi, przeziernymi dla promieniowania RTG.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Segment oparcia pleców z możliwością szybkiego poziomowania (CPR) z obu stron leża.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4 koła o średnicy min. 150 mm  zaopatrzone w mechanizm centralnej blokady. Koła z tworzywowymi osłonami (widoczny tylko bieżnik).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Dźwignie uruchamiające centralną blokadę kół umieszczone w dwóch narożach ramy podwozia łóżka od strony nóg pacjenta.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Funkcja jazdy na wprost i łatwego manewrowania.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ind w:left="380" w:right="-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Prześwit pod podwoziem o wysokości min. 145 mm i na długości min. 1500 mm, aby umożliwić swobodny najazd podnośnika chorego.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ind w:left="380" w:right="-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Szczyty łóżka wyjmowane z gniazd ramy leża, tworzywowe </w:t>
            </w: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wytworzone z tworzywa z użyciem technologii powodującej hamowanie namnażania się bakterii i wirusów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Rama leża wyposażona w: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krążki  odbojowe w narożach leża,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sworzeń wyrównania potencjału,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poziomnice, po jednej sztuce na obu bokach leża, w okolicy szczytu nóg,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- cztery haczyki do zawieszania np. woreczków na płyny fizjologiczne – po dwa haczyki z dwóch stron leża.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Możliwość montażu wieszaka kroplówki w czterech narożach ramy leża.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Dopuszczalne obciążenie robocze min. 280 kg.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Elementy wyposażenia łóżka: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uchwyt ręki - 1 szt.,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wieszak kroplówki – 1 szt.,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materac przeciwodleżynowy piankowy – 1 szt.,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- szafka przyłóżkowa – 1 szt.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Łóżko wyposażone w </w:t>
            </w:r>
            <w:r w:rsidRPr="008C607A">
              <w:rPr>
                <w:rFonts w:ascii="Arial" w:hAnsi="Arial" w:cs="Arial"/>
                <w:b/>
                <w:sz w:val="16"/>
                <w:szCs w:val="16"/>
              </w:rPr>
              <w:t>materac przeciwodleżynowy piankowy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 statyczny dwuwarstwowy (warstwa wierzchnia i spodnia), wykonany z pianki wysoko sprężystej o gęstości 65 kg/m3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i 50 kg/m3</w:t>
            </w:r>
            <w:r w:rsidRPr="008C607A">
              <w:rPr>
                <w:rFonts w:ascii="Arial" w:hAnsi="Arial" w:cs="Arial"/>
                <w:sz w:val="16"/>
                <w:szCs w:val="16"/>
                <w:vertAlign w:val="superscript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ind w:left="144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Rozmiar materaca 85</w:t>
            </w:r>
            <w:r w:rsidRPr="008C607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607A">
              <w:rPr>
                <w:rFonts w:ascii="Arial" w:hAnsi="Arial" w:cs="Arial"/>
                <w:sz w:val="16"/>
                <w:szCs w:val="16"/>
              </w:rPr>
              <w:t>x 200 cm, wysokość 14 cm.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Materac wymienny, kładziony bezpośrednio na ramie łóżka.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Materac posiadający profilowaną powierzchnię górną z podziałem na strefy, w celu uzyskania optymalnej redystrybucji ciężaru ciała pacjenta oraz przepływu powietrza.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Dwuwarstwowa konstrukcja materaca zapewniająca minimalizację sił ścinających i sił tarcia (podczas zmiany pozycji leża siły mają rozkładać się pomiędzy warstwami materaca).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TAK, opisać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Materac posiadający wbudowaną funkcję siedzenia zapewniającą odpowiednie wsparcie w pozycji siedzącej i poprawę komfortu w pozycji leżącej.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TAK, opisać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Materac przeznaczony do stosowania w profilaktyce odleżyn do 2 stopnia włącznie (wg. skali 4 stopniowej) u pacjentów o wadze do 180 kg.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Pokrowiec odporny na zapłon zgodnie z normą EN597-1 i EN597-2.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Miękki, elastyczny pokrowiec zewnętrzny, paroprzepuszczalny, składający się z górnej warstwy o gramaturze min. 170 gr/m2 wykonanej z tkaniny poliestrowej pokrytej poliuretanem o przepuszczalności pary wodnej na poziomie min. 600 gr/m2/24H oraz spodniej warstwy o gramaturze min. 210 gr/m2 wykonanej z tkaniny poliestrowej pokrytej poliuretanem o przepuszczalności pary wodnej na poziomie min.  600 gr/m2/24H, zamykany na suwak, przeznaczony do prania w temp. 95 stopni C, suszenia w suszarce oraz do dezynfekcji powierzchniowej, dostosowany do czyszczenia środkami na bazie roztworu chloru o stężeniu do 1% w sytuacjach wymagających neutralizację zanieczyszczeniami z krwi, o wysokim standardzie higieny - odporny na penetrację przez krew i płyny fizjologiczne, odporny na penetrację przez </w:t>
            </w:r>
            <w:r w:rsidRPr="008C607A">
              <w:rPr>
                <w:rFonts w:ascii="Arial" w:hAnsi="Arial" w:cs="Arial"/>
                <w:sz w:val="16"/>
                <w:szCs w:val="16"/>
              </w:rPr>
              <w:lastRenderedPageBreak/>
              <w:t>patogeny pochodzące z krwi, odporny na penetrację przez bakterie.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Możliwość odkażania w komorze do dezynfekcji parowej – para wodna w nadciśnieniu w temp 105 stopni C.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TAK, do potwierdzenia oświadczeniem producenta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Materac przystosowany do prowadzenia ewakuacji pacjentów, w sytuacjach zagrożenia, posiadający wbudowany w pokrowiec osprzęt w postaci pasów bocznych do zamocowania pacjenta na materacu zapinanych na rzepy i minimum 3 uchwyty do przemieszczania po stronie głowy i po stronie nóg.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TAK, do potwierdzenia instrukcją obsługi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Materac posiadający trwałe oznaczenie w postaci etykiety, zawierającej informację na temat materaca, co najmniej: model materaca, dopuszczalna waga użytkownika, stopień odleżyn do którego materac może być stosowany, instrukcja prania pokrowca.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11199" w:type="dxa"/>
            <w:gridSpan w:val="4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8C607A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Szafka przyłóżkowa</w:t>
            </w: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ind w:right="144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Łóżko wyposażone w szafkę przyłóżkową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 z możliwością dostawiania do łóżka po lewej lub prawej stronie.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ind w:left="144" w:right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Szerokość szafki: 490 mm (+/- 30 mm).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Głębokość szafki: 370 mm (+/- 30 mm).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Wysokość blatu: 850 mm (+/- 20 mm</w:t>
            </w:r>
            <w:r w:rsidRPr="008C607A">
              <w:rPr>
                <w:rFonts w:ascii="Arial" w:hAnsi="Arial" w:cs="Arial"/>
                <w:sz w:val="16"/>
                <w:szCs w:val="16"/>
                <w:u w:val="single"/>
              </w:rPr>
              <w:t>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Dodatkowy blat boczny, chowany do boku szafki,  z regulacją wysokości i kąta nachylenia. 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Konstrukcja zespołu zmiany wysokości blatu bocznego lakierowana, poruszająca się w lakierowanych proszkowo prowadnicach.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Regulacja wysokości blatu bocznego w zakresie 750 – 1000 mm (+/- 20 mm).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Przechył blatu w zakresie od min. </w:t>
            </w:r>
            <w:r w:rsidRPr="008C607A">
              <w:rPr>
                <w:rFonts w:ascii="Arial" w:hAnsi="Arial" w:cs="Arial"/>
                <w:snapToGrid w:val="0"/>
                <w:sz w:val="16"/>
                <w:szCs w:val="16"/>
              </w:rPr>
              <w:t>-</w:t>
            </w:r>
            <w:r w:rsidRPr="008C607A">
              <w:rPr>
                <w:rFonts w:ascii="Arial" w:hAnsi="Arial" w:cs="Arial"/>
                <w:sz w:val="16"/>
                <w:szCs w:val="16"/>
              </w:rPr>
              <w:t>30 stopni  do min. +30 stopni.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Szerokość blatu bocznego min. 550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Głębokość blatu bocznego min. 340 mm.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Blaty szafki wykonane z tworzywa </w:t>
            </w: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z użyciem nanotechnologii srebra powodującej hamowanie namnażania się bakterii i wirusów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,    odpornego na środki dezynfekcyjne i wysoką temperaturę. Dodatek antybakteryjny musi być integralną zawartością składu tworzywa i zapewniać </w:t>
            </w:r>
            <w:r w:rsidRPr="008C607A">
              <w:rPr>
                <w:rFonts w:ascii="Arial" w:hAnsi="Arial" w:cs="Arial"/>
                <w:bCs/>
                <w:color w:val="221F1F"/>
                <w:sz w:val="16"/>
                <w:szCs w:val="16"/>
              </w:rPr>
              <w:t>powolne uwalnianie jonów srebra</w:t>
            </w:r>
            <w:r w:rsidRPr="008C607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Blaty profilowane z wypukłą krawędzią zewnętrzną ograniczającą możliwość zlewania się płynów na podłogę.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Konstrukcja szafki oraz czoła szuflady i drzwiczki wykonane z blachy stalowej  ocynkowanej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 Możliwość wyboru koloru czół szuflady oraz drzwiczek.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  <w:trHeight w:val="300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Skrzynka szafki wyposażona w półkę i dwoje drzwiczek.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Szuflada i drzwiczki wyposażone</w:t>
            </w:r>
          </w:p>
          <w:p w:rsidR="006D5432" w:rsidRPr="008C607A" w:rsidRDefault="006D5432" w:rsidP="00880AB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8C607A">
              <w:rPr>
                <w:rFonts w:ascii="Arial" w:hAnsi="Arial" w:cs="Arial"/>
                <w:bCs/>
                <w:sz w:val="16"/>
                <w:szCs w:val="16"/>
              </w:rPr>
              <w:t xml:space="preserve">w </w:t>
            </w:r>
            <w:r w:rsidRPr="008C607A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ergonomiczny uchwyt do otwierania, wykonany z anodowanego stopu aluminiowego. 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 xml:space="preserve">Szuflada dwustronnego wysuwania wyposażona w ogranicznik eliminujący wypadnięcie szuflady z szafki i w wyjmowany, dwukomorowy, tworzywowy wkład wykonany z tworzywa </w:t>
            </w: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z użyciem nanotechnologii srebra powodującej hamowanie namnażania się bakterii i wirusów. </w:t>
            </w:r>
            <w:r w:rsidRPr="008C607A">
              <w:rPr>
                <w:rFonts w:ascii="Arial" w:hAnsi="Arial" w:cs="Arial"/>
                <w:sz w:val="16"/>
                <w:szCs w:val="16"/>
              </w:rPr>
              <w:t xml:space="preserve"> Dodatek antybakteryjny musi być integralną zawartością składu tworzywa i zapewniać </w:t>
            </w:r>
            <w:r w:rsidRPr="008C607A">
              <w:rPr>
                <w:rFonts w:ascii="Arial" w:hAnsi="Arial" w:cs="Arial"/>
                <w:bCs/>
                <w:color w:val="221F1F"/>
                <w:sz w:val="16"/>
                <w:szCs w:val="16"/>
              </w:rPr>
              <w:t>powolne uwalnianie jonów srebra</w:t>
            </w:r>
            <w:r w:rsidRPr="008C607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Szuflada z ogranicznikiem wysuwu uniemożliwiającym wysunięcie szuflady w stronę ściany. W trakcie użytkowania szafki, wysuw możliwy tylko w stronę pacjenta).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numPr>
                <w:ilvl w:val="12"/>
                <w:numId w:val="0"/>
              </w:num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Szafka  przejezdna z blokadą dwóch kół wykonanych z tworzywa.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rPr>
          <w:gridAfter w:val="2"/>
          <w:wAfter w:w="2850" w:type="dxa"/>
        </w:trPr>
        <w:tc>
          <w:tcPr>
            <w:tcW w:w="5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>Dokumenty (raporty techniczne, karty charakterystyki itp.) potwierdzające antybakteryjność lakieru i tworzywa</w:t>
            </w:r>
            <w:r w:rsidRPr="008C607A">
              <w:rPr>
                <w:rFonts w:ascii="Arial" w:hAnsi="Arial" w:cs="Arial"/>
                <w:sz w:val="16"/>
                <w:szCs w:val="16"/>
              </w:rPr>
              <w:t>(dołączyć do oferty).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5432" w:rsidRPr="008C607A" w:rsidRDefault="006D5432" w:rsidP="00880AB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c>
          <w:tcPr>
            <w:tcW w:w="11199" w:type="dxa"/>
            <w:gridSpan w:val="4"/>
            <w:shd w:val="clear" w:color="auto" w:fill="FFFFFF"/>
            <w:vAlign w:val="center"/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Warunki dodatkowe</w:t>
            </w:r>
          </w:p>
        </w:tc>
        <w:tc>
          <w:tcPr>
            <w:tcW w:w="1149" w:type="dxa"/>
          </w:tcPr>
          <w:p w:rsidR="006D5432" w:rsidRPr="008C607A" w:rsidRDefault="006D5432" w:rsidP="00880AB3">
            <w:pPr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8C607A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TAK</w:t>
            </w: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gwarancji na wszystkie elementy dostawy od momentu uruchomienia i protokolarnego odbioru całości zrealizowanego zamówienia min. 24 miesiące.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TAK,</w:t>
            </w: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 min. 24 miesiące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Default="006D5432" w:rsidP="00880AB3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36A1">
              <w:rPr>
                <w:rFonts w:ascii="Arial" w:hAnsi="Arial" w:cs="Arial"/>
                <w:color w:val="auto"/>
                <w:sz w:val="16"/>
                <w:szCs w:val="16"/>
              </w:rPr>
              <w:t>Wymagane dokumenty:</w:t>
            </w:r>
          </w:p>
          <w:p w:rsidR="008E4EF2" w:rsidRPr="00CC31D9" w:rsidRDefault="008E4EF2" w:rsidP="008E4EF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 xml:space="preserve">- </w:t>
            </w:r>
            <w:r w:rsidRPr="008E4EF2">
              <w:rPr>
                <w:rFonts w:ascii="Arial" w:hAnsi="Arial" w:cs="Arial"/>
                <w:sz w:val="16"/>
                <w:szCs w:val="16"/>
              </w:rPr>
              <w:t xml:space="preserve">Certyfikat CE i/ </w:t>
            </w:r>
            <w:r w:rsidRPr="00CC31D9">
              <w:rPr>
                <w:rFonts w:ascii="Arial" w:hAnsi="Arial" w:cs="Arial"/>
                <w:color w:val="auto"/>
                <w:sz w:val="16"/>
                <w:szCs w:val="16"/>
              </w:rPr>
              <w:t>lub Deklaracja zgodności</w:t>
            </w:r>
          </w:p>
          <w:p w:rsidR="006D5432" w:rsidRPr="00CC31D9" w:rsidRDefault="008E4EF2" w:rsidP="006D5432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C31D9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="006D5432" w:rsidRPr="00CC31D9">
              <w:rPr>
                <w:rFonts w:ascii="Arial" w:hAnsi="Arial" w:cs="Arial"/>
                <w:color w:val="auto"/>
                <w:sz w:val="16"/>
                <w:szCs w:val="16"/>
              </w:rPr>
              <w:t xml:space="preserve"> wpis lub zgłoszenie do Rejestru Wyrobów Medycznych</w:t>
            </w:r>
          </w:p>
          <w:p w:rsidR="00CC31D9" w:rsidRPr="008C607A" w:rsidRDefault="00CC31D9" w:rsidP="00CC31D9">
            <w:pPr>
              <w:pStyle w:val="Default"/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</w:pPr>
            <w:r w:rsidRPr="00CC31D9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  <w:r w:rsidRPr="00CC31D9">
              <w:rPr>
                <w:rFonts w:ascii="Arial" w:eastAsia="SimSun" w:hAnsi="Arial" w:cs="Arial"/>
                <w:color w:val="auto"/>
                <w:kern w:val="1"/>
                <w:sz w:val="16"/>
                <w:szCs w:val="16"/>
                <w:lang w:eastAsia="en-US" w:bidi="hi-IN"/>
              </w:rPr>
              <w:t xml:space="preserve"> Dokumenty (raporty techniczne, karty charakterystyki itp.) potwierdzające antybakteryjność lakieru i/lub tworzywa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Możliwość zgłaszania usterek – należy podać sposób oraz dane telead</w:t>
            </w:r>
            <w:bookmarkStart w:id="0" w:name="_GoBack"/>
            <w:bookmarkEnd w:id="0"/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resowe.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TAK,</w:t>
            </w:r>
            <w:r w:rsidRPr="008C607A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podać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przystąpienia do naprawy uszkodzonego elementu dostawy po zgłoszeniu usterki nie dłuższy niż 3 dni robocze.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Termin usunięcia usterki od momentu jej zgłoszenia nie dłuższy niż 7 dni roboczych.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Na czas naprawy/innej usługi serwisowej elementu dostawy Wykonawca, na żądanie Zamawiającego dostarczy do 3 dni roboczych zamiennie analogiczny element dostawy.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podzespołu na nowy podzespół po 3 naprawach gwarancyjnych.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Wymiana uszkodzonego elementu dostawy na nowy element dostawy tzn. po 3 wymianach gwarancyjnych tego samego podzespołu, wystąpienie ponownej usterki tego podzespołu skutkuje wymianą przez Wykonawcę elementu dostawy na nowy na żądanie Zamawiającego.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Każdy czas trwania naprawy gwarancyjnej powoduje przedłużenie okresu gwarancji o czas trwania naprawy.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akcesoria zużywalne będące podzespołami lub elementami składowymi elementu dostawy a podlegające wymianie (z wyłączeniem elementów jednorazowego użytku), zgodnie z dokumentacją producenta, w okresie gwarancji wymieniane będą na koszt Wykonawcy.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Wszelkie czynności przeglądowo-konserwacyjne określone w niniejszej instrukcji obsługi, innej dokumentacji producenta oraz w obowiązujących przepisach prawnych, w okresie gwarancji wykonywane będą na koszt Wykonawcy. Dokumentacja z przedmiotowych działań wraz ze stosownym świadectwem Bezpieczeństwa zostanie przekazana Zamawiającemu.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6D5432" w:rsidRPr="008C607A" w:rsidTr="00880AB3">
        <w:tblPrEx>
          <w:shd w:val="clear" w:color="auto" w:fill="auto"/>
          <w:tblLook w:val="0000" w:firstRow="0" w:lastRow="0" w:firstColumn="0" w:lastColumn="0" w:noHBand="0" w:noVBand="0"/>
        </w:tblPrEx>
        <w:trPr>
          <w:gridAfter w:val="2"/>
          <w:wAfter w:w="2850" w:type="dxa"/>
        </w:trPr>
        <w:tc>
          <w:tcPr>
            <w:tcW w:w="567" w:type="dxa"/>
            <w:shd w:val="clear" w:color="auto" w:fill="FFFFFF"/>
            <w:vAlign w:val="center"/>
          </w:tcPr>
          <w:p w:rsidR="006D5432" w:rsidRPr="008C607A" w:rsidRDefault="006D5432" w:rsidP="006D5432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9" w:type="dxa"/>
            <w:shd w:val="clear" w:color="auto" w:fill="auto"/>
          </w:tcPr>
          <w:p w:rsidR="006D5432" w:rsidRPr="008C607A" w:rsidRDefault="006D5432" w:rsidP="00880AB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eastAsia="SimSun" w:hAnsi="Arial" w:cs="Arial"/>
                <w:kern w:val="1"/>
                <w:sz w:val="16"/>
                <w:szCs w:val="16"/>
                <w:lang w:bidi="hi-IN"/>
              </w:rPr>
              <w:t>Okres zagwarantowania dostępności części zamiennych od daty sprzedaży w latach min. 7 lat.</w:t>
            </w:r>
          </w:p>
        </w:tc>
        <w:tc>
          <w:tcPr>
            <w:tcW w:w="1417" w:type="dxa"/>
            <w:shd w:val="clear" w:color="auto" w:fill="FFFFFF"/>
          </w:tcPr>
          <w:p w:rsidR="006D5432" w:rsidRPr="008C607A" w:rsidRDefault="006D5432" w:rsidP="00880A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607A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4526" w:type="dxa"/>
            <w:shd w:val="clear" w:color="auto" w:fill="FFFFFF"/>
          </w:tcPr>
          <w:p w:rsidR="006D5432" w:rsidRPr="008C607A" w:rsidRDefault="006D5432" w:rsidP="00880AB3">
            <w:pPr>
              <w:widowControl w:val="0"/>
              <w:snapToGrid w:val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6D5432" w:rsidRPr="008C607A" w:rsidRDefault="006D5432" w:rsidP="006D5432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5432" w:rsidRPr="008C607A" w:rsidRDefault="006D5432" w:rsidP="006D5432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p w:rsidR="006D5432" w:rsidRPr="008C607A" w:rsidRDefault="006D5432" w:rsidP="006D5432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6D5432" w:rsidRPr="008C607A" w:rsidRDefault="006D5432" w:rsidP="006D5432">
      <w:pPr>
        <w:ind w:left="-142"/>
        <w:jc w:val="both"/>
        <w:rPr>
          <w:rFonts w:ascii="Arial" w:hAnsi="Arial" w:cs="Arial"/>
          <w:b/>
          <w:sz w:val="16"/>
          <w:szCs w:val="16"/>
          <w:lang w:eastAsia="ar-SA"/>
        </w:rPr>
      </w:pPr>
      <w:r w:rsidRPr="008C607A">
        <w:rPr>
          <w:rFonts w:ascii="Arial" w:hAnsi="Arial" w:cs="Arial"/>
          <w:b/>
          <w:sz w:val="16"/>
          <w:szCs w:val="16"/>
        </w:rPr>
        <w:t xml:space="preserve">UWAGA : </w:t>
      </w:r>
      <w:r w:rsidRPr="008C607A">
        <w:rPr>
          <w:rFonts w:ascii="Arial" w:hAnsi="Arial" w:cs="Arial"/>
          <w:b/>
          <w:sz w:val="16"/>
          <w:szCs w:val="16"/>
          <w:lang w:eastAsia="ar-SA"/>
        </w:rPr>
        <w:t>Nie spełnienie wymaganych parametrów i warunków spowoduje odrzucenie oferty.</w:t>
      </w:r>
    </w:p>
    <w:p w:rsidR="006D5432" w:rsidRDefault="006D5432"/>
    <w:sectPr w:rsidR="006D5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31F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32"/>
    <w:rsid w:val="004B7AC2"/>
    <w:rsid w:val="00654A04"/>
    <w:rsid w:val="006D5432"/>
    <w:rsid w:val="008E4EF2"/>
    <w:rsid w:val="00A943E1"/>
    <w:rsid w:val="00CC31D9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D6100-0B6B-48A2-8DB9-7E42EB05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4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6D5432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6D543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6D5432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D5432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Stopka">
    <w:name w:val="footer"/>
    <w:basedOn w:val="Normalny"/>
    <w:link w:val="StopkaZnak"/>
    <w:rsid w:val="006D543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6D543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6D543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6D543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3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3E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2187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3</cp:revision>
  <cp:lastPrinted>2024-09-20T09:36:00Z</cp:lastPrinted>
  <dcterms:created xsi:type="dcterms:W3CDTF">2024-09-20T06:32:00Z</dcterms:created>
  <dcterms:modified xsi:type="dcterms:W3CDTF">2024-09-20T11:14:00Z</dcterms:modified>
</cp:coreProperties>
</file>