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4600F" w14:textId="144206CD" w:rsidR="003152CB" w:rsidRPr="00F35898" w:rsidRDefault="003152CB" w:rsidP="003152CB">
      <w:pPr>
        <w:tabs>
          <w:tab w:val="left" w:pos="426"/>
          <w:tab w:val="left" w:pos="993"/>
        </w:tabs>
        <w:spacing w:before="120" w:after="120" w:line="360" w:lineRule="auto"/>
        <w:jc w:val="right"/>
        <w:rPr>
          <w:rFonts w:ascii="Arial" w:hAnsi="Arial"/>
          <w:sz w:val="24"/>
          <w:szCs w:val="24"/>
        </w:rPr>
      </w:pPr>
      <w:r w:rsidRPr="00F35898">
        <w:rPr>
          <w:rFonts w:ascii="Arial" w:hAnsi="Arial"/>
          <w:sz w:val="24"/>
          <w:szCs w:val="24"/>
        </w:rPr>
        <w:t>Łódź, dnia</w:t>
      </w:r>
      <w:r w:rsidR="00725C94">
        <w:rPr>
          <w:rFonts w:ascii="Arial" w:hAnsi="Arial"/>
          <w:sz w:val="24"/>
          <w:szCs w:val="24"/>
        </w:rPr>
        <w:t xml:space="preserve"> </w:t>
      </w:r>
      <w:r w:rsidR="0039619E">
        <w:rPr>
          <w:rFonts w:ascii="Arial" w:hAnsi="Arial"/>
          <w:sz w:val="24"/>
          <w:szCs w:val="24"/>
        </w:rPr>
        <w:t>27</w:t>
      </w:r>
      <w:r w:rsidR="0049612D">
        <w:rPr>
          <w:rFonts w:ascii="Arial" w:hAnsi="Arial"/>
          <w:sz w:val="24"/>
          <w:szCs w:val="24"/>
        </w:rPr>
        <w:t xml:space="preserve"> listopada</w:t>
      </w:r>
      <w:r w:rsidRPr="00F35898">
        <w:rPr>
          <w:rFonts w:ascii="Arial" w:hAnsi="Arial"/>
          <w:sz w:val="24"/>
          <w:szCs w:val="24"/>
        </w:rPr>
        <w:t xml:space="preserve"> 2024 roku</w:t>
      </w:r>
    </w:p>
    <w:p w14:paraId="0806A627" w14:textId="77777777" w:rsidR="006C3ED9" w:rsidRPr="00F35898" w:rsidRDefault="006C3ED9" w:rsidP="006C3ED9">
      <w:pPr>
        <w:spacing w:line="360" w:lineRule="auto"/>
        <w:contextualSpacing/>
        <w:rPr>
          <w:rFonts w:ascii="Arial" w:hAnsi="Arial"/>
          <w:sz w:val="24"/>
          <w:szCs w:val="24"/>
        </w:rPr>
      </w:pPr>
      <w:r w:rsidRPr="00F35898">
        <w:rPr>
          <w:rFonts w:ascii="Arial" w:hAnsi="Arial"/>
          <w:sz w:val="24"/>
          <w:szCs w:val="24"/>
        </w:rPr>
        <w:t>Zamawiający</w:t>
      </w:r>
    </w:p>
    <w:p w14:paraId="0220EC15" w14:textId="77777777" w:rsidR="006C3ED9" w:rsidRPr="00F35898" w:rsidRDefault="006C3ED9" w:rsidP="006C3ED9">
      <w:pPr>
        <w:spacing w:line="360" w:lineRule="auto"/>
        <w:contextualSpacing/>
        <w:rPr>
          <w:rFonts w:ascii="Arial" w:hAnsi="Arial"/>
          <w:sz w:val="24"/>
          <w:szCs w:val="24"/>
        </w:rPr>
      </w:pPr>
      <w:r w:rsidRPr="00F35898">
        <w:rPr>
          <w:rFonts w:ascii="Arial" w:hAnsi="Arial"/>
          <w:sz w:val="24"/>
          <w:szCs w:val="24"/>
        </w:rPr>
        <w:t>Regionalne Centrum Polityki Społecznej w Łodzi</w:t>
      </w:r>
    </w:p>
    <w:p w14:paraId="440D80CD" w14:textId="77777777" w:rsidR="006C3ED9" w:rsidRPr="00F35898" w:rsidRDefault="006C3ED9" w:rsidP="006C3ED9">
      <w:pPr>
        <w:spacing w:line="360" w:lineRule="auto"/>
        <w:contextualSpacing/>
        <w:rPr>
          <w:rFonts w:ascii="Arial" w:hAnsi="Arial"/>
          <w:sz w:val="24"/>
          <w:szCs w:val="24"/>
        </w:rPr>
      </w:pPr>
      <w:r w:rsidRPr="00F35898">
        <w:rPr>
          <w:rFonts w:ascii="Arial" w:hAnsi="Arial"/>
          <w:sz w:val="24"/>
          <w:szCs w:val="24"/>
        </w:rPr>
        <w:t>ul. Snycerska 8</w:t>
      </w:r>
    </w:p>
    <w:p w14:paraId="55130187" w14:textId="77777777" w:rsidR="006C3ED9" w:rsidRPr="00F35898" w:rsidRDefault="006C3ED9" w:rsidP="006C3ED9">
      <w:pPr>
        <w:spacing w:line="360" w:lineRule="auto"/>
        <w:contextualSpacing/>
        <w:rPr>
          <w:rFonts w:ascii="Arial" w:hAnsi="Arial"/>
          <w:sz w:val="24"/>
          <w:szCs w:val="24"/>
        </w:rPr>
      </w:pPr>
      <w:r w:rsidRPr="00F35898">
        <w:rPr>
          <w:rFonts w:ascii="Arial" w:hAnsi="Arial"/>
          <w:sz w:val="24"/>
          <w:szCs w:val="24"/>
        </w:rPr>
        <w:t>91-302 Łódź</w:t>
      </w:r>
    </w:p>
    <w:p w14:paraId="4A0E2A2F" w14:textId="69983CB8" w:rsidR="00437370" w:rsidRPr="000C504E" w:rsidRDefault="00437370" w:rsidP="00437370">
      <w:pPr>
        <w:spacing w:after="0" w:line="360" w:lineRule="auto"/>
        <w:rPr>
          <w:rFonts w:ascii="Arial" w:hAnsi="Arial" w:cs="Arial"/>
          <w:sz w:val="24"/>
          <w:szCs w:val="24"/>
        </w:rPr>
      </w:pPr>
      <w:r w:rsidRPr="000C504E">
        <w:rPr>
          <w:rFonts w:ascii="Arial" w:hAnsi="Arial" w:cs="Arial"/>
          <w:sz w:val="24"/>
          <w:szCs w:val="24"/>
        </w:rPr>
        <w:t xml:space="preserve">Numer sprawy: </w:t>
      </w:r>
      <w:r w:rsidR="0049612D">
        <w:rPr>
          <w:rFonts w:ascii="Arial" w:hAnsi="Arial" w:cs="Arial"/>
          <w:sz w:val="24"/>
          <w:szCs w:val="24"/>
        </w:rPr>
        <w:t>49</w:t>
      </w:r>
      <w:r w:rsidRPr="000C504E">
        <w:rPr>
          <w:rFonts w:ascii="Arial" w:hAnsi="Arial" w:cs="Arial"/>
          <w:sz w:val="24"/>
          <w:szCs w:val="24"/>
        </w:rPr>
        <w:t>/2024</w:t>
      </w:r>
    </w:p>
    <w:p w14:paraId="1C75221F" w14:textId="0CD0964D" w:rsidR="00437370" w:rsidRPr="000C504E" w:rsidRDefault="00437370" w:rsidP="00437370">
      <w:pPr>
        <w:spacing w:after="0" w:line="360" w:lineRule="auto"/>
        <w:rPr>
          <w:rFonts w:ascii="Arial" w:hAnsi="Arial" w:cs="Arial"/>
          <w:sz w:val="24"/>
          <w:szCs w:val="24"/>
        </w:rPr>
      </w:pPr>
      <w:r w:rsidRPr="000C504E">
        <w:rPr>
          <w:rFonts w:ascii="Arial" w:hAnsi="Arial" w:cs="Arial"/>
          <w:sz w:val="24"/>
          <w:szCs w:val="24"/>
        </w:rPr>
        <w:t>DZP.261.2</w:t>
      </w:r>
      <w:r w:rsidR="0049612D">
        <w:rPr>
          <w:rFonts w:ascii="Arial" w:hAnsi="Arial" w:cs="Arial"/>
          <w:sz w:val="24"/>
          <w:szCs w:val="24"/>
        </w:rPr>
        <w:t>9</w:t>
      </w:r>
      <w:r w:rsidRPr="000C504E">
        <w:rPr>
          <w:rFonts w:ascii="Arial" w:hAnsi="Arial" w:cs="Arial"/>
          <w:sz w:val="24"/>
          <w:szCs w:val="24"/>
        </w:rPr>
        <w:t>.2024</w:t>
      </w:r>
    </w:p>
    <w:p w14:paraId="54AAB8F5" w14:textId="2798EF33" w:rsidR="00437370" w:rsidRPr="000C504E" w:rsidRDefault="00437370" w:rsidP="00437370">
      <w:pPr>
        <w:spacing w:after="0" w:line="360" w:lineRule="auto"/>
        <w:rPr>
          <w:rFonts w:ascii="Arial" w:hAnsi="Arial" w:cs="Arial"/>
          <w:sz w:val="24"/>
          <w:szCs w:val="24"/>
          <w:lang w:eastAsia="pl-PL"/>
        </w:rPr>
      </w:pPr>
      <w:r w:rsidRPr="000C504E">
        <w:rPr>
          <w:rFonts w:ascii="Arial" w:hAnsi="Arial" w:cs="Arial"/>
          <w:sz w:val="24"/>
          <w:szCs w:val="24"/>
        </w:rPr>
        <w:t xml:space="preserve">Numer ogłoszenia: 2024/BZP </w:t>
      </w:r>
      <w:r w:rsidR="0049612D">
        <w:rPr>
          <w:rFonts w:ascii="Arial" w:hAnsi="Arial"/>
          <w:sz w:val="24"/>
          <w:szCs w:val="24"/>
        </w:rPr>
        <w:t>00549704</w:t>
      </w:r>
      <w:r w:rsidRPr="000C504E">
        <w:rPr>
          <w:rFonts w:ascii="Arial" w:hAnsi="Arial" w:cs="Arial"/>
          <w:sz w:val="24"/>
          <w:szCs w:val="24"/>
        </w:rPr>
        <w:t>/01</w:t>
      </w:r>
    </w:p>
    <w:p w14:paraId="5B0C2DAE" w14:textId="77777777" w:rsidR="006C3ED9" w:rsidRPr="00F35898" w:rsidRDefault="006C3ED9" w:rsidP="006C3ED9">
      <w:pPr>
        <w:spacing w:before="120" w:after="120" w:line="360" w:lineRule="auto"/>
        <w:contextualSpacing/>
        <w:rPr>
          <w:rFonts w:ascii="Arial" w:hAnsi="Arial"/>
          <w:sz w:val="24"/>
          <w:szCs w:val="24"/>
        </w:rPr>
      </w:pPr>
      <w:r w:rsidRPr="00F35898">
        <w:rPr>
          <w:rFonts w:ascii="Arial" w:hAnsi="Arial"/>
          <w:sz w:val="24"/>
          <w:szCs w:val="24"/>
        </w:rPr>
        <w:t>Wykonawcy biorący udział w postępowaniu</w:t>
      </w:r>
    </w:p>
    <w:p w14:paraId="390036A5" w14:textId="6A58FF8F" w:rsidR="00E03B82" w:rsidRPr="0049612D" w:rsidRDefault="00515DF5" w:rsidP="0049612D">
      <w:pPr>
        <w:pStyle w:val="Nagwek1"/>
        <w:spacing w:before="120" w:after="120"/>
        <w:contextualSpacing/>
        <w:rPr>
          <w:b w:val="0"/>
          <w:bCs/>
        </w:rPr>
      </w:pPr>
      <w:r w:rsidRPr="0049612D">
        <w:rPr>
          <w:b w:val="0"/>
          <w:bCs/>
        </w:rPr>
        <w:t>Informacja o wyborze oferty</w:t>
      </w:r>
    </w:p>
    <w:p w14:paraId="628C1499" w14:textId="0613837E" w:rsidR="00437370" w:rsidRPr="0049612D" w:rsidRDefault="00E03B82" w:rsidP="0049612D">
      <w:pPr>
        <w:widowControl w:val="0"/>
        <w:suppressAutoHyphens/>
        <w:autoSpaceDN w:val="0"/>
        <w:spacing w:before="120" w:after="120" w:line="312" w:lineRule="auto"/>
        <w:textAlignment w:val="baseline"/>
        <w:rPr>
          <w:rFonts w:ascii="Times New Roman" w:eastAsia="Andale Sans UI" w:hAnsi="Times New Roman" w:cs="Tahoma"/>
          <w:kern w:val="3"/>
          <w:sz w:val="24"/>
          <w:szCs w:val="24"/>
          <w:lang w:eastAsia="pl-PL"/>
          <w14:ligatures w14:val="none"/>
        </w:rPr>
      </w:pPr>
      <w:r w:rsidRPr="00F35898">
        <w:rPr>
          <w:rFonts w:ascii="Arial" w:hAnsi="Arial"/>
          <w:sz w:val="24"/>
          <w:szCs w:val="24"/>
        </w:rPr>
        <w:t xml:space="preserve">Działając na podstawie art. 253 </w:t>
      </w:r>
      <w:bookmarkStart w:id="0" w:name="_Hlk172706662"/>
      <w:r w:rsidRPr="00F35898">
        <w:rPr>
          <w:rFonts w:ascii="Arial" w:hAnsi="Arial"/>
          <w:sz w:val="24"/>
          <w:szCs w:val="24"/>
        </w:rPr>
        <w:t>ust. 1 pkt 1)</w:t>
      </w:r>
      <w:bookmarkEnd w:id="0"/>
      <w:r w:rsidR="0049612D">
        <w:rPr>
          <w:rFonts w:ascii="Arial" w:hAnsi="Arial"/>
          <w:sz w:val="24"/>
          <w:szCs w:val="24"/>
        </w:rPr>
        <w:t xml:space="preserve"> i pkt 2)</w:t>
      </w:r>
      <w:r w:rsidR="00685A7A" w:rsidRPr="00F35898">
        <w:rPr>
          <w:rFonts w:ascii="Arial" w:hAnsi="Arial"/>
          <w:sz w:val="24"/>
          <w:szCs w:val="24"/>
        </w:rPr>
        <w:t xml:space="preserve"> </w:t>
      </w:r>
      <w:r w:rsidRPr="00F35898">
        <w:rPr>
          <w:rFonts w:ascii="Arial" w:hAnsi="Arial"/>
          <w:sz w:val="24"/>
          <w:szCs w:val="24"/>
        </w:rPr>
        <w:t>ustawy z dnia 11 września 2019 r. Prawo zamówień publicznych (tj. Dz. U. z 202</w:t>
      </w:r>
      <w:r w:rsidR="00437370">
        <w:rPr>
          <w:rFonts w:ascii="Arial" w:hAnsi="Arial"/>
          <w:sz w:val="24"/>
          <w:szCs w:val="24"/>
        </w:rPr>
        <w:t>4</w:t>
      </w:r>
      <w:r w:rsidRPr="00F35898">
        <w:rPr>
          <w:rFonts w:ascii="Arial" w:hAnsi="Arial"/>
          <w:sz w:val="24"/>
          <w:szCs w:val="24"/>
        </w:rPr>
        <w:t xml:space="preserve"> r. poz. </w:t>
      </w:r>
      <w:r w:rsidR="00437370">
        <w:rPr>
          <w:rFonts w:ascii="Arial" w:hAnsi="Arial"/>
          <w:sz w:val="24"/>
          <w:szCs w:val="24"/>
        </w:rPr>
        <w:t>1320</w:t>
      </w:r>
      <w:r w:rsidRPr="00F35898">
        <w:rPr>
          <w:rFonts w:ascii="Arial" w:hAnsi="Arial"/>
          <w:sz w:val="24"/>
          <w:szCs w:val="24"/>
        </w:rPr>
        <w:t xml:space="preserve">) zwanej dalej „ustawą </w:t>
      </w:r>
      <w:proofErr w:type="spellStart"/>
      <w:r w:rsidRPr="00F35898">
        <w:rPr>
          <w:rFonts w:ascii="Arial" w:hAnsi="Arial"/>
          <w:sz w:val="24"/>
          <w:szCs w:val="24"/>
        </w:rPr>
        <w:t>Pzp</w:t>
      </w:r>
      <w:proofErr w:type="spellEnd"/>
      <w:r w:rsidRPr="00F35898">
        <w:rPr>
          <w:rFonts w:ascii="Arial" w:hAnsi="Arial"/>
          <w:sz w:val="24"/>
          <w:szCs w:val="24"/>
        </w:rPr>
        <w:t>” informuję, że w postępowaniu prowadzonym w trybie podstawowym bez negocjacji na</w:t>
      </w:r>
      <w:bookmarkStart w:id="1" w:name="_Hlk175298450"/>
      <w:r w:rsidR="0049612D">
        <w:rPr>
          <w:rFonts w:ascii="Arial" w:hAnsi="Arial"/>
          <w:sz w:val="24"/>
          <w:szCs w:val="24"/>
        </w:rPr>
        <w:t xml:space="preserve"> </w:t>
      </w:r>
      <w:r w:rsidR="0049612D" w:rsidRPr="0049612D">
        <w:rPr>
          <w:rFonts w:ascii="Arial" w:eastAsia="Andale Sans UI" w:hAnsi="Arial" w:cs="Tahoma"/>
          <w:kern w:val="3"/>
          <w:sz w:val="24"/>
          <w:szCs w:val="24"/>
          <w:lang w:eastAsia="pl-PL"/>
          <w14:ligatures w14:val="none"/>
        </w:rPr>
        <w:t>„Świadczenie usługi hotelarskiej i restauracyjnej podczas szkolenia, które odbędzie się w terminie 09-10 grudnia 2024 r. na terenie województwa łódzkiego</w:t>
      </w:r>
      <w:r w:rsidR="0049612D" w:rsidRPr="0049612D">
        <w:rPr>
          <w:rFonts w:ascii="Arial" w:eastAsia="Andale Sans UI" w:hAnsi="Arial" w:cs="Arial"/>
          <w:kern w:val="3"/>
          <w:sz w:val="24"/>
          <w:szCs w:val="24"/>
          <w:lang w:eastAsia="pl-PL"/>
          <w14:ligatures w14:val="none"/>
        </w:rPr>
        <w:t>”</w:t>
      </w:r>
      <w:bookmarkEnd w:id="1"/>
      <w:r w:rsidR="0049612D" w:rsidRPr="0049612D">
        <w:rPr>
          <w:rFonts w:ascii="Arial" w:eastAsia="Andale Sans UI" w:hAnsi="Arial" w:cs="Arial"/>
          <w:kern w:val="3"/>
          <w:sz w:val="24"/>
          <w:szCs w:val="24"/>
          <w:lang w:eastAsia="pl-PL"/>
          <w14:ligatures w14:val="none"/>
        </w:rPr>
        <w:t>.</w:t>
      </w:r>
    </w:p>
    <w:p w14:paraId="60A01C44" w14:textId="1A9C78C0" w:rsidR="00E03B82" w:rsidRPr="00E83B07" w:rsidRDefault="00E03B82" w:rsidP="00AF5C9A">
      <w:pPr>
        <w:spacing w:before="120" w:after="120" w:line="360" w:lineRule="auto"/>
        <w:rPr>
          <w:rFonts w:ascii="Arial" w:hAnsi="Arial"/>
          <w:sz w:val="24"/>
          <w:szCs w:val="24"/>
        </w:rPr>
      </w:pPr>
      <w:r w:rsidRPr="00E83B07">
        <w:rPr>
          <w:rFonts w:ascii="Arial" w:hAnsi="Arial"/>
          <w:sz w:val="24"/>
          <w:szCs w:val="24"/>
        </w:rPr>
        <w:t>Zamawiający na podstawie kryterium określonego w SWZ:</w:t>
      </w:r>
    </w:p>
    <w:p w14:paraId="4EECBE2D" w14:textId="77777777" w:rsidR="00AF5C9A" w:rsidRPr="00DA7648" w:rsidRDefault="00AF5C9A" w:rsidP="005E140C">
      <w:pPr>
        <w:pStyle w:val="Akapitzlist"/>
        <w:widowControl w:val="0"/>
        <w:numPr>
          <w:ilvl w:val="0"/>
          <w:numId w:val="7"/>
        </w:numPr>
        <w:shd w:val="clear" w:color="auto" w:fill="FFFFFF"/>
        <w:tabs>
          <w:tab w:val="left" w:pos="0"/>
          <w:tab w:val="left" w:pos="2430"/>
        </w:tabs>
        <w:autoSpaceDE w:val="0"/>
        <w:autoSpaceDN w:val="0"/>
        <w:adjustRightInd w:val="0"/>
        <w:spacing w:after="0" w:line="360" w:lineRule="auto"/>
        <w:ind w:left="284"/>
        <w:jc w:val="both"/>
        <w:rPr>
          <w:rFonts w:ascii="Arial" w:hAnsi="Arial" w:cs="Arial"/>
          <w:sz w:val="24"/>
          <w:szCs w:val="24"/>
          <w:u w:val="single"/>
        </w:rPr>
      </w:pPr>
      <w:r w:rsidRPr="00DA7648">
        <w:rPr>
          <w:rFonts w:ascii="Arial" w:hAnsi="Arial" w:cs="Arial"/>
          <w:sz w:val="24"/>
          <w:szCs w:val="24"/>
        </w:rPr>
        <w:t>Cena oferty brutto - 60%;</w:t>
      </w:r>
    </w:p>
    <w:p w14:paraId="2DADBCF9" w14:textId="5B28E09E" w:rsidR="00AF5C9A" w:rsidRPr="00A80842" w:rsidRDefault="00AF5C9A" w:rsidP="005E140C">
      <w:pPr>
        <w:widowControl w:val="0"/>
        <w:numPr>
          <w:ilvl w:val="0"/>
          <w:numId w:val="7"/>
        </w:numPr>
        <w:shd w:val="clear" w:color="auto" w:fill="FFFFFF"/>
        <w:tabs>
          <w:tab w:val="left" w:pos="0"/>
          <w:tab w:val="left" w:pos="2430"/>
        </w:tabs>
        <w:autoSpaceDE w:val="0"/>
        <w:autoSpaceDN w:val="0"/>
        <w:adjustRightInd w:val="0"/>
        <w:spacing w:after="0" w:line="360" w:lineRule="auto"/>
        <w:ind w:left="284"/>
        <w:contextualSpacing/>
        <w:jc w:val="both"/>
        <w:rPr>
          <w:rFonts w:ascii="Arial" w:eastAsia="Times New Roman" w:hAnsi="Arial" w:cs="Arial"/>
          <w:sz w:val="24"/>
          <w:szCs w:val="24"/>
          <w:u w:val="single"/>
        </w:rPr>
      </w:pPr>
      <w:bookmarkStart w:id="2" w:name="_Hlk95915816"/>
      <w:r w:rsidRPr="00DA7648">
        <w:rPr>
          <w:rFonts w:ascii="Arial" w:hAnsi="Arial"/>
          <w:sz w:val="24"/>
          <w:szCs w:val="24"/>
        </w:rPr>
        <w:t>Standard hotelu/ośrodka szkoleniowego </w:t>
      </w:r>
      <w:bookmarkEnd w:id="2"/>
      <w:r w:rsidRPr="00DA7648">
        <w:rPr>
          <w:rFonts w:ascii="Arial" w:hAnsi="Arial"/>
          <w:sz w:val="24"/>
          <w:szCs w:val="24"/>
        </w:rPr>
        <w:t xml:space="preserve"> </w:t>
      </w:r>
      <w:r w:rsidRPr="00DA7648">
        <w:rPr>
          <w:rFonts w:ascii="Arial" w:hAnsi="Arial" w:cs="Arial"/>
          <w:sz w:val="24"/>
          <w:szCs w:val="24"/>
        </w:rPr>
        <w:t>- 40%;</w:t>
      </w:r>
    </w:p>
    <w:p w14:paraId="572FC3B5" w14:textId="77777777" w:rsidR="00E03B82" w:rsidRPr="00F35898" w:rsidRDefault="00E03B82" w:rsidP="00F2426B">
      <w:pPr>
        <w:spacing w:before="120" w:after="120" w:line="360" w:lineRule="auto"/>
        <w:rPr>
          <w:rFonts w:ascii="Arial" w:hAnsi="Arial"/>
          <w:sz w:val="24"/>
          <w:szCs w:val="24"/>
        </w:rPr>
      </w:pPr>
      <w:r w:rsidRPr="00F35898">
        <w:rPr>
          <w:rFonts w:ascii="Arial" w:hAnsi="Arial"/>
          <w:sz w:val="24"/>
          <w:szCs w:val="24"/>
        </w:rPr>
        <w:t>wybrał następującą ofertę:</w:t>
      </w:r>
    </w:p>
    <w:p w14:paraId="10390255" w14:textId="6D34F470" w:rsidR="00437370" w:rsidRDefault="00437370" w:rsidP="00F2426B">
      <w:pPr>
        <w:spacing w:before="120" w:after="120" w:line="360" w:lineRule="auto"/>
        <w:rPr>
          <w:rFonts w:ascii="Arial" w:hAnsi="Arial" w:cs="Arial"/>
          <w:sz w:val="24"/>
          <w:szCs w:val="24"/>
        </w:rPr>
      </w:pPr>
      <w:proofErr w:type="spellStart"/>
      <w:r w:rsidRPr="00437370">
        <w:rPr>
          <w:rFonts w:ascii="Arial" w:hAnsi="Arial" w:cs="Arial"/>
          <w:sz w:val="24"/>
          <w:szCs w:val="24"/>
        </w:rPr>
        <w:t>UpHotel</w:t>
      </w:r>
      <w:proofErr w:type="spellEnd"/>
      <w:r w:rsidRPr="00437370">
        <w:rPr>
          <w:rFonts w:ascii="Arial" w:hAnsi="Arial" w:cs="Arial"/>
          <w:sz w:val="24"/>
          <w:szCs w:val="24"/>
        </w:rPr>
        <w:t xml:space="preserve"> Sp. z o.o., ul. Solna 4, 58-500 Jelenia Góra</w:t>
      </w:r>
      <w:r w:rsidR="00082C54">
        <w:rPr>
          <w:rFonts w:ascii="Arial" w:hAnsi="Arial" w:cs="Arial"/>
          <w:sz w:val="24"/>
          <w:szCs w:val="24"/>
        </w:rPr>
        <w:t>,</w:t>
      </w:r>
      <w:r w:rsidRPr="00437370">
        <w:rPr>
          <w:rFonts w:ascii="Arial" w:hAnsi="Arial" w:cs="Arial"/>
          <w:sz w:val="24"/>
          <w:szCs w:val="24"/>
        </w:rPr>
        <w:t xml:space="preserve"> za kwotę </w:t>
      </w:r>
      <w:r w:rsidR="0049612D">
        <w:rPr>
          <w:rFonts w:ascii="Arial" w:hAnsi="Arial" w:cs="Arial"/>
          <w:sz w:val="24"/>
          <w:szCs w:val="24"/>
        </w:rPr>
        <w:t>41 822,74</w:t>
      </w:r>
      <w:r w:rsidRPr="00437370">
        <w:rPr>
          <w:rFonts w:ascii="Arial" w:hAnsi="Arial" w:cs="Arial"/>
          <w:sz w:val="24"/>
          <w:szCs w:val="24"/>
        </w:rPr>
        <w:t xml:space="preserve"> zł (słownie:</w:t>
      </w:r>
      <w:r w:rsidR="00E83B07">
        <w:rPr>
          <w:rFonts w:ascii="Arial" w:hAnsi="Arial" w:cs="Arial"/>
          <w:sz w:val="24"/>
          <w:szCs w:val="24"/>
        </w:rPr>
        <w:t> </w:t>
      </w:r>
      <w:r w:rsidRPr="00437370">
        <w:rPr>
          <w:rFonts w:ascii="Arial" w:hAnsi="Arial" w:cs="Arial"/>
          <w:sz w:val="24"/>
          <w:szCs w:val="24"/>
        </w:rPr>
        <w:t xml:space="preserve"> </w:t>
      </w:r>
      <w:r w:rsidR="0049612D">
        <w:rPr>
          <w:rFonts w:ascii="Arial" w:hAnsi="Arial" w:cs="Arial"/>
          <w:sz w:val="24"/>
          <w:szCs w:val="24"/>
        </w:rPr>
        <w:t>czterdzieści jeden tysięcy osiemset dwadzieścia dwa złote 74/100)</w:t>
      </w:r>
      <w:r>
        <w:rPr>
          <w:rFonts w:ascii="Arial" w:hAnsi="Arial" w:cs="Arial"/>
          <w:sz w:val="24"/>
          <w:szCs w:val="24"/>
        </w:rPr>
        <w:t>.</w:t>
      </w:r>
    </w:p>
    <w:p w14:paraId="64DB7168" w14:textId="2538D466" w:rsidR="00E03B82" w:rsidRPr="00E83B07" w:rsidRDefault="00515DF5" w:rsidP="00F2426B">
      <w:pPr>
        <w:spacing w:before="120" w:after="120" w:line="360" w:lineRule="auto"/>
        <w:rPr>
          <w:rFonts w:ascii="Arial" w:hAnsi="Arial"/>
          <w:sz w:val="24"/>
          <w:szCs w:val="24"/>
        </w:rPr>
      </w:pPr>
      <w:r w:rsidRPr="00E83B07">
        <w:rPr>
          <w:rFonts w:ascii="Arial" w:hAnsi="Arial"/>
          <w:sz w:val="24"/>
          <w:szCs w:val="24"/>
        </w:rPr>
        <w:t>Uzasadnienie wyboru</w:t>
      </w:r>
    </w:p>
    <w:p w14:paraId="2488A87B" w14:textId="77BEC3D3" w:rsidR="00E5306F" w:rsidRDefault="00E03B82" w:rsidP="00F13614">
      <w:pPr>
        <w:pStyle w:val="Akapitzlist"/>
        <w:numPr>
          <w:ilvl w:val="0"/>
          <w:numId w:val="1"/>
        </w:numPr>
        <w:spacing w:before="120" w:after="120" w:line="360" w:lineRule="auto"/>
        <w:ind w:left="284" w:hanging="284"/>
        <w:rPr>
          <w:rFonts w:ascii="Arial" w:hAnsi="Arial"/>
          <w:sz w:val="24"/>
          <w:szCs w:val="24"/>
        </w:rPr>
      </w:pPr>
      <w:r w:rsidRPr="00E0656E">
        <w:rPr>
          <w:rFonts w:ascii="Arial" w:hAnsi="Arial"/>
          <w:sz w:val="24"/>
          <w:szCs w:val="24"/>
        </w:rPr>
        <w:t xml:space="preserve">Do upływu terminu składania ofert tj. do dnia </w:t>
      </w:r>
      <w:r w:rsidR="00E5306F">
        <w:rPr>
          <w:rFonts w:ascii="Arial" w:hAnsi="Arial"/>
          <w:sz w:val="24"/>
          <w:szCs w:val="24"/>
        </w:rPr>
        <w:t>24 października</w:t>
      </w:r>
      <w:r w:rsidRPr="00E0656E">
        <w:rPr>
          <w:rFonts w:ascii="Arial" w:hAnsi="Arial"/>
          <w:sz w:val="24"/>
          <w:szCs w:val="24"/>
        </w:rPr>
        <w:t xml:space="preserve"> 202</w:t>
      </w:r>
      <w:r w:rsidR="00F2426B" w:rsidRPr="00E0656E">
        <w:rPr>
          <w:rFonts w:ascii="Arial" w:hAnsi="Arial"/>
          <w:sz w:val="24"/>
          <w:szCs w:val="24"/>
        </w:rPr>
        <w:t>4</w:t>
      </w:r>
      <w:r w:rsidRPr="00E0656E">
        <w:rPr>
          <w:rFonts w:ascii="Arial" w:hAnsi="Arial"/>
          <w:sz w:val="24"/>
          <w:szCs w:val="24"/>
        </w:rPr>
        <w:t xml:space="preserve"> roku do godz. 0</w:t>
      </w:r>
      <w:r w:rsidR="000A517F">
        <w:rPr>
          <w:rFonts w:ascii="Arial" w:hAnsi="Arial"/>
          <w:sz w:val="24"/>
          <w:szCs w:val="24"/>
        </w:rPr>
        <w:t>8</w:t>
      </w:r>
      <w:r w:rsidRPr="00E0656E">
        <w:rPr>
          <w:rFonts w:ascii="Arial" w:hAnsi="Arial"/>
          <w:sz w:val="24"/>
          <w:szCs w:val="24"/>
        </w:rPr>
        <w:t xml:space="preserve">:00 złożono </w:t>
      </w:r>
      <w:r w:rsidR="00E5306F">
        <w:rPr>
          <w:rFonts w:ascii="Arial" w:hAnsi="Arial"/>
          <w:sz w:val="24"/>
          <w:szCs w:val="24"/>
        </w:rPr>
        <w:t>3</w:t>
      </w:r>
      <w:r w:rsidRPr="00E0656E">
        <w:rPr>
          <w:rFonts w:ascii="Arial" w:hAnsi="Arial"/>
          <w:sz w:val="24"/>
          <w:szCs w:val="24"/>
        </w:rPr>
        <w:t xml:space="preserve"> ofert</w:t>
      </w:r>
      <w:r w:rsidR="00F2426B" w:rsidRPr="00E0656E">
        <w:rPr>
          <w:rFonts w:ascii="Arial" w:hAnsi="Arial"/>
          <w:sz w:val="24"/>
          <w:szCs w:val="24"/>
        </w:rPr>
        <w:t>y</w:t>
      </w:r>
      <w:r w:rsidRPr="00E0656E">
        <w:rPr>
          <w:rFonts w:ascii="Arial" w:hAnsi="Arial"/>
          <w:sz w:val="24"/>
          <w:szCs w:val="24"/>
        </w:rPr>
        <w:t>:</w:t>
      </w:r>
    </w:p>
    <w:p w14:paraId="360C19C5" w14:textId="77777777" w:rsidR="005E140C" w:rsidRDefault="005E140C" w:rsidP="005E140C">
      <w:pPr>
        <w:pStyle w:val="Akapitzlist"/>
        <w:numPr>
          <w:ilvl w:val="0"/>
          <w:numId w:val="10"/>
        </w:numPr>
        <w:spacing w:before="120" w:after="120" w:line="336" w:lineRule="auto"/>
        <w:ind w:left="284" w:firstLine="0"/>
        <w:rPr>
          <w:rFonts w:ascii="Arial" w:hAnsi="Arial"/>
          <w:sz w:val="24"/>
        </w:rPr>
      </w:pPr>
      <w:r>
        <w:rPr>
          <w:rFonts w:ascii="Arial" w:hAnsi="Arial"/>
          <w:sz w:val="24"/>
        </w:rPr>
        <w:t xml:space="preserve">M </w:t>
      </w:r>
      <w:proofErr w:type="spellStart"/>
      <w:r>
        <w:rPr>
          <w:rFonts w:ascii="Arial" w:hAnsi="Arial"/>
          <w:sz w:val="24"/>
        </w:rPr>
        <w:t>Concept</w:t>
      </w:r>
      <w:proofErr w:type="spellEnd"/>
      <w:r>
        <w:rPr>
          <w:rFonts w:ascii="Arial" w:hAnsi="Arial"/>
          <w:sz w:val="24"/>
        </w:rPr>
        <w:t xml:space="preserve"> Monika </w:t>
      </w:r>
      <w:proofErr w:type="spellStart"/>
      <w:r>
        <w:rPr>
          <w:rFonts w:ascii="Arial" w:hAnsi="Arial"/>
          <w:sz w:val="24"/>
        </w:rPr>
        <w:t>Dewerenda</w:t>
      </w:r>
      <w:proofErr w:type="spellEnd"/>
      <w:r>
        <w:rPr>
          <w:rFonts w:ascii="Arial" w:hAnsi="Arial"/>
          <w:sz w:val="24"/>
        </w:rPr>
        <w:t xml:space="preserve"> – Biedroń, Wejherowska 45, 42- 202  Częstochowa za kwotę 65 900,00 zł (słownie: sześćdziesiąt pięć tysięcy dziewięćset złotych 00/100), standard hotelu/ośrodka szkoleniowego (liczba gwiazdek) – 4</w:t>
      </w:r>
    </w:p>
    <w:p w14:paraId="5ED21754" w14:textId="2DBFDB16" w:rsidR="005E140C" w:rsidRPr="005E140C" w:rsidRDefault="005E140C" w:rsidP="005E140C">
      <w:pPr>
        <w:pStyle w:val="Akapitzlist"/>
        <w:numPr>
          <w:ilvl w:val="0"/>
          <w:numId w:val="10"/>
        </w:numPr>
        <w:spacing w:before="120" w:after="120" w:line="336" w:lineRule="auto"/>
        <w:ind w:left="284" w:firstLine="0"/>
        <w:rPr>
          <w:rFonts w:ascii="Arial" w:hAnsi="Arial"/>
          <w:sz w:val="24"/>
        </w:rPr>
      </w:pPr>
      <w:proofErr w:type="spellStart"/>
      <w:r w:rsidRPr="005E140C">
        <w:rPr>
          <w:rFonts w:ascii="Arial" w:hAnsi="Arial"/>
          <w:sz w:val="24"/>
        </w:rPr>
        <w:t>UpHotel</w:t>
      </w:r>
      <w:proofErr w:type="spellEnd"/>
      <w:r w:rsidRPr="005E140C">
        <w:rPr>
          <w:rFonts w:ascii="Arial" w:hAnsi="Arial"/>
          <w:sz w:val="24"/>
        </w:rPr>
        <w:t xml:space="preserve"> Sp. z o.o., ul. Solna 4, 58-500 Jelenia Góra za kwotę</w:t>
      </w:r>
      <w:r w:rsidR="00B11FCB">
        <w:rPr>
          <w:rFonts w:ascii="Arial" w:hAnsi="Arial"/>
          <w:sz w:val="24"/>
        </w:rPr>
        <w:t xml:space="preserve"> </w:t>
      </w:r>
      <w:r w:rsidRPr="005E140C">
        <w:rPr>
          <w:rFonts w:ascii="Arial" w:hAnsi="Arial" w:cs="Arial"/>
          <w:sz w:val="24"/>
          <w:szCs w:val="24"/>
        </w:rPr>
        <w:t>41 822,74 zł (słownie:  czterdzieści jeden tysięcy osiemset dwadzieścia dwa złote 74/100).</w:t>
      </w:r>
    </w:p>
    <w:p w14:paraId="09456A25" w14:textId="3CD5E68E" w:rsidR="005E140C" w:rsidRDefault="005E140C" w:rsidP="005E140C">
      <w:pPr>
        <w:pStyle w:val="Akapitzlist"/>
        <w:spacing w:before="120" w:after="120" w:line="336" w:lineRule="auto"/>
        <w:ind w:left="284"/>
        <w:rPr>
          <w:rFonts w:ascii="Arial" w:hAnsi="Arial"/>
          <w:sz w:val="24"/>
        </w:rPr>
      </w:pPr>
      <w:r w:rsidRPr="005E140C">
        <w:rPr>
          <w:rFonts w:ascii="Arial" w:hAnsi="Arial"/>
          <w:sz w:val="24"/>
        </w:rPr>
        <w:lastRenderedPageBreak/>
        <w:t xml:space="preserve"> standard hotelu/ośrodka szkoleniowego (liczba gwiazdek) – 4</w:t>
      </w:r>
    </w:p>
    <w:p w14:paraId="4705BD2C" w14:textId="77777777" w:rsidR="005E140C" w:rsidRDefault="005E140C" w:rsidP="005E140C">
      <w:pPr>
        <w:pStyle w:val="Akapitzlist"/>
        <w:numPr>
          <w:ilvl w:val="0"/>
          <w:numId w:val="10"/>
        </w:numPr>
        <w:spacing w:before="120" w:after="120" w:line="336" w:lineRule="auto"/>
        <w:ind w:left="284" w:firstLine="0"/>
        <w:rPr>
          <w:rFonts w:ascii="Arial" w:hAnsi="Arial"/>
          <w:sz w:val="24"/>
        </w:rPr>
      </w:pPr>
      <w:r w:rsidRPr="005E140C">
        <w:rPr>
          <w:rFonts w:ascii="Arial" w:hAnsi="Arial"/>
          <w:sz w:val="24"/>
        </w:rPr>
        <w:t>Platon Szkolenia i Konferencje Sp.  z o.o., ul. Chabrowa 39/7, 52-200 Wysoka (Wrocław) za kwotę 62 066,00 zł (słownie: sześćdziesiąt dwa tysiące sześćdziesiąt sześć złotych 00/100), standard hotelu/ośrodka szkoleniowego (liczba gwiazdek) – 4</w:t>
      </w:r>
    </w:p>
    <w:p w14:paraId="42C9B1C8" w14:textId="6CFEB746" w:rsidR="005E140C" w:rsidRDefault="003E51D5" w:rsidP="003E51D5">
      <w:pPr>
        <w:pStyle w:val="Akapitzlist"/>
        <w:numPr>
          <w:ilvl w:val="0"/>
          <w:numId w:val="1"/>
        </w:numPr>
        <w:spacing w:before="120" w:after="120" w:line="336" w:lineRule="auto"/>
        <w:ind w:left="0" w:firstLine="66"/>
        <w:rPr>
          <w:rFonts w:ascii="Arial" w:hAnsi="Arial"/>
          <w:sz w:val="24"/>
        </w:rPr>
      </w:pPr>
      <w:r>
        <w:rPr>
          <w:rFonts w:ascii="Arial" w:hAnsi="Arial"/>
          <w:sz w:val="24"/>
        </w:rPr>
        <w:t>W postępowaniu odrzucono następujące oferty:</w:t>
      </w:r>
    </w:p>
    <w:p w14:paraId="4C9B8B0C" w14:textId="4574C9F2" w:rsidR="00DF2E6A" w:rsidRPr="00DF2E6A" w:rsidRDefault="00DF2E6A" w:rsidP="00DF2E6A">
      <w:pPr>
        <w:pStyle w:val="Akapitzlist"/>
        <w:numPr>
          <w:ilvl w:val="0"/>
          <w:numId w:val="12"/>
        </w:numPr>
        <w:spacing w:before="120" w:after="120" w:line="336" w:lineRule="auto"/>
        <w:ind w:left="284" w:firstLine="0"/>
        <w:rPr>
          <w:rFonts w:ascii="Arial" w:hAnsi="Arial"/>
          <w:sz w:val="24"/>
        </w:rPr>
      </w:pPr>
      <w:r w:rsidRPr="00DF2E6A">
        <w:rPr>
          <w:rFonts w:ascii="Arial" w:hAnsi="Arial" w:cs="Arial"/>
          <w:sz w:val="24"/>
          <w:szCs w:val="24"/>
        </w:rPr>
        <w:t xml:space="preserve">Ofertę  nr 1 złożoną przez </w:t>
      </w:r>
      <w:r>
        <w:rPr>
          <w:rFonts w:ascii="Arial" w:hAnsi="Arial"/>
          <w:sz w:val="24"/>
        </w:rPr>
        <w:t xml:space="preserve">M </w:t>
      </w:r>
      <w:proofErr w:type="spellStart"/>
      <w:r>
        <w:rPr>
          <w:rFonts w:ascii="Arial" w:hAnsi="Arial"/>
          <w:sz w:val="24"/>
        </w:rPr>
        <w:t>Concept</w:t>
      </w:r>
      <w:proofErr w:type="spellEnd"/>
      <w:r>
        <w:rPr>
          <w:rFonts w:ascii="Arial" w:hAnsi="Arial"/>
          <w:sz w:val="24"/>
        </w:rPr>
        <w:t xml:space="preserve"> Monika </w:t>
      </w:r>
      <w:proofErr w:type="spellStart"/>
      <w:r>
        <w:rPr>
          <w:rFonts w:ascii="Arial" w:hAnsi="Arial"/>
          <w:sz w:val="24"/>
        </w:rPr>
        <w:t>Dewerenda</w:t>
      </w:r>
      <w:proofErr w:type="spellEnd"/>
      <w:r>
        <w:rPr>
          <w:rFonts w:ascii="Arial" w:hAnsi="Arial"/>
          <w:sz w:val="24"/>
        </w:rPr>
        <w:t xml:space="preserve"> – Biedroń, Wejherowska 45, 42- 202  Częstochowa </w:t>
      </w:r>
      <w:r w:rsidRPr="00DF2E6A">
        <w:rPr>
          <w:rFonts w:ascii="Arial" w:hAnsi="Arial" w:cs="Arial"/>
          <w:sz w:val="24"/>
          <w:szCs w:val="24"/>
        </w:rPr>
        <w:t xml:space="preserve">na podstawie art. 226 ust. 1 pkt 5) ustawy </w:t>
      </w:r>
      <w:proofErr w:type="spellStart"/>
      <w:r w:rsidRPr="00DF2E6A">
        <w:rPr>
          <w:rFonts w:ascii="Arial" w:hAnsi="Arial" w:cs="Arial"/>
          <w:sz w:val="24"/>
          <w:szCs w:val="24"/>
        </w:rPr>
        <w:t>Pzp</w:t>
      </w:r>
      <w:proofErr w:type="spellEnd"/>
      <w:r w:rsidRPr="00DF2E6A">
        <w:rPr>
          <w:rFonts w:ascii="Arial" w:hAnsi="Arial" w:cs="Arial"/>
          <w:sz w:val="24"/>
          <w:szCs w:val="24"/>
        </w:rPr>
        <w:t xml:space="preserve">. Zgodnie z załącznikiem nr 4 do SWZ  rozdział IV pkt. 1 </w:t>
      </w:r>
      <w:proofErr w:type="spellStart"/>
      <w:r w:rsidRPr="00DF2E6A">
        <w:rPr>
          <w:rFonts w:ascii="Arial" w:hAnsi="Arial" w:cs="Arial"/>
          <w:sz w:val="24"/>
          <w:szCs w:val="24"/>
        </w:rPr>
        <w:t>ppkt</w:t>
      </w:r>
      <w:proofErr w:type="spellEnd"/>
      <w:r w:rsidRPr="00DF2E6A">
        <w:rPr>
          <w:rFonts w:ascii="Arial" w:hAnsi="Arial" w:cs="Arial"/>
          <w:sz w:val="24"/>
          <w:szCs w:val="24"/>
        </w:rPr>
        <w:t xml:space="preserve">. 1) Szczegółowego opisu przedmiotu zamówienia,  Wykonawca winien świadczyć usługę hotelarską  w hotelu o minimum </w:t>
      </w:r>
      <w:r>
        <w:rPr>
          <w:rFonts w:ascii="Arial" w:hAnsi="Arial" w:cs="Arial"/>
          <w:sz w:val="24"/>
          <w:szCs w:val="24"/>
        </w:rPr>
        <w:t>trzygwiazdkowym</w:t>
      </w:r>
      <w:r w:rsidRPr="00DF2E6A">
        <w:rPr>
          <w:rFonts w:ascii="Arial" w:hAnsi="Arial" w:cs="Arial"/>
          <w:sz w:val="24"/>
          <w:szCs w:val="24"/>
        </w:rPr>
        <w:t xml:space="preserve"> standardzie lub ośrodku szkoleniowym o standardzie minimum hotelu </w:t>
      </w:r>
      <w:r>
        <w:rPr>
          <w:rFonts w:ascii="Arial" w:hAnsi="Arial" w:cs="Arial"/>
          <w:sz w:val="24"/>
          <w:szCs w:val="24"/>
        </w:rPr>
        <w:t>trzygwiazdkowego</w:t>
      </w:r>
      <w:r w:rsidRPr="00DF2E6A">
        <w:rPr>
          <w:rFonts w:ascii="Arial" w:hAnsi="Arial" w:cs="Arial"/>
          <w:sz w:val="24"/>
          <w:szCs w:val="24"/>
        </w:rPr>
        <w:t xml:space="preserve"> (na podstawie przepisów Rozporządzenia Ministra Gospodarki z dnia 19 sierpnia 2004 r. w sprawie obiektów hotelarskich i innych obiektów, w których są świadczone usługi hotelarskie), położonym na terenie województwa łódzkiego, oddalonym co najmniej 1 km (w najkrótszej linii prostej), mierzonej od zewnętrznej krawędzi drogi publicznej (autostrady - klasa A, drogi ekspresowej - klasa S, lub innej drogi krajowej - klasa GP) do ściany budynku. W przypadku hoteli/ośrodków składających się z kilku budynków odległość będzie mierzona do ściany budynku położonego w najmniejszej odległości od drogi publicznej. Odległość liczona wg danych z mapy: aplikacja Google </w:t>
      </w:r>
      <w:proofErr w:type="spellStart"/>
      <w:r w:rsidRPr="00DF2E6A">
        <w:rPr>
          <w:rFonts w:ascii="Arial" w:hAnsi="Arial" w:cs="Arial"/>
          <w:sz w:val="24"/>
          <w:szCs w:val="24"/>
        </w:rPr>
        <w:t>Maps</w:t>
      </w:r>
      <w:proofErr w:type="spellEnd"/>
      <w:r w:rsidRPr="00DF2E6A">
        <w:rPr>
          <w:rFonts w:ascii="Arial" w:hAnsi="Arial" w:cs="Arial"/>
          <w:sz w:val="24"/>
          <w:szCs w:val="24"/>
        </w:rPr>
        <w:t>. Aplikacja dostępna jest pod adresem www.googlemaps.com; jest własnością, znakiem zastrzeżonym Firmy Google).</w:t>
      </w:r>
    </w:p>
    <w:p w14:paraId="06322D72" w14:textId="77777777" w:rsidR="00DF2E6A" w:rsidRPr="00DF2E6A" w:rsidRDefault="00DF2E6A" w:rsidP="00DF2E6A">
      <w:pPr>
        <w:tabs>
          <w:tab w:val="left" w:pos="284"/>
        </w:tabs>
        <w:spacing w:after="0" w:line="360" w:lineRule="auto"/>
        <w:ind w:left="284"/>
        <w:rPr>
          <w:rFonts w:ascii="Arial" w:hAnsi="Arial" w:cs="Arial"/>
          <w:color w:val="FF0000"/>
          <w:sz w:val="24"/>
          <w:szCs w:val="24"/>
        </w:rPr>
      </w:pPr>
      <w:r w:rsidRPr="00DF2E6A">
        <w:rPr>
          <w:rFonts w:ascii="Arial" w:hAnsi="Arial" w:cs="Arial"/>
          <w:sz w:val="24"/>
          <w:szCs w:val="24"/>
        </w:rPr>
        <w:t>Wskazany przez Wykonawcę w Załączniku nr 1 do SWZ w Formularzu ofertowym w pkt. 6 hotel znajduje się w odległości mniejszej niż 1 km  od drogi krajowej.</w:t>
      </w:r>
    </w:p>
    <w:p w14:paraId="4E0618F9" w14:textId="77777777" w:rsidR="00DF2E6A" w:rsidRPr="00DF2E6A" w:rsidRDefault="00DF2E6A" w:rsidP="00DF2E6A">
      <w:pPr>
        <w:spacing w:after="0" w:line="360" w:lineRule="auto"/>
        <w:ind w:left="284"/>
        <w:jc w:val="both"/>
        <w:rPr>
          <w:rFonts w:ascii="Arial" w:hAnsi="Arial" w:cs="Arial"/>
          <w:sz w:val="24"/>
          <w:szCs w:val="24"/>
        </w:rPr>
      </w:pPr>
      <w:r w:rsidRPr="00DF2E6A">
        <w:rPr>
          <w:rFonts w:ascii="Arial" w:hAnsi="Arial" w:cs="Arial"/>
          <w:sz w:val="24"/>
          <w:szCs w:val="24"/>
        </w:rPr>
        <w:t xml:space="preserve">W związku z powyższym oferta podlega odrzuceniu </w:t>
      </w:r>
      <w:r w:rsidRPr="00C64271">
        <w:rPr>
          <w:rFonts w:ascii="Arial" w:hAnsi="Arial" w:cs="Arial"/>
          <w:sz w:val="24"/>
          <w:szCs w:val="24"/>
        </w:rPr>
        <w:t xml:space="preserve">na podstawie art. 226 ust. 1 pkt 5) ustawy </w:t>
      </w:r>
      <w:proofErr w:type="spellStart"/>
      <w:r w:rsidRPr="00C64271">
        <w:rPr>
          <w:rFonts w:ascii="Arial" w:hAnsi="Arial" w:cs="Arial"/>
          <w:sz w:val="24"/>
          <w:szCs w:val="24"/>
        </w:rPr>
        <w:t>Pzp</w:t>
      </w:r>
      <w:proofErr w:type="spellEnd"/>
      <w:r w:rsidRPr="00C64271">
        <w:rPr>
          <w:rFonts w:ascii="Arial" w:hAnsi="Arial" w:cs="Arial"/>
          <w:color w:val="FF0000"/>
          <w:sz w:val="24"/>
          <w:szCs w:val="24"/>
        </w:rPr>
        <w:t xml:space="preserve">, </w:t>
      </w:r>
      <w:r w:rsidRPr="00DF2E6A">
        <w:rPr>
          <w:rFonts w:ascii="Arial" w:hAnsi="Arial" w:cs="Arial"/>
          <w:sz w:val="24"/>
          <w:szCs w:val="24"/>
        </w:rPr>
        <w:t>ponieważ jej treść jest niezgodna z warunkami zamówienia.</w:t>
      </w:r>
      <w:bookmarkStart w:id="3" w:name="_Hlk141781318"/>
    </w:p>
    <w:bookmarkEnd w:id="3"/>
    <w:p w14:paraId="72270154" w14:textId="77777777" w:rsidR="005C7E06" w:rsidRDefault="00DF2E6A" w:rsidP="005B3CE3">
      <w:pPr>
        <w:pStyle w:val="Akapitzlist"/>
        <w:tabs>
          <w:tab w:val="left" w:pos="426"/>
        </w:tabs>
        <w:spacing w:before="120" w:afterLines="40" w:after="96" w:line="360" w:lineRule="auto"/>
        <w:ind w:left="284"/>
        <w:contextualSpacing w:val="0"/>
        <w:rPr>
          <w:rFonts w:ascii="Arial" w:hAnsi="Arial"/>
          <w:sz w:val="24"/>
        </w:rPr>
      </w:pPr>
      <w:r w:rsidRPr="003531F7">
        <w:rPr>
          <w:rFonts w:ascii="Arial" w:hAnsi="Arial" w:cs="Arial"/>
          <w:bCs/>
          <w:sz w:val="24"/>
          <w:szCs w:val="24"/>
        </w:rPr>
        <w:t xml:space="preserve">2) </w:t>
      </w:r>
      <w:r w:rsidRPr="003531F7">
        <w:rPr>
          <w:rFonts w:ascii="Arial" w:hAnsi="Arial" w:cs="Arial"/>
          <w:sz w:val="24"/>
          <w:szCs w:val="24"/>
        </w:rPr>
        <w:t xml:space="preserve"> </w:t>
      </w:r>
      <w:bookmarkStart w:id="4" w:name="_Hlk175659238"/>
      <w:r w:rsidRPr="003531F7">
        <w:rPr>
          <w:rFonts w:ascii="Arial" w:hAnsi="Arial" w:cs="Arial"/>
          <w:sz w:val="24"/>
          <w:szCs w:val="24"/>
        </w:rPr>
        <w:t xml:space="preserve">Ofertę  nr 3 złożoną przez </w:t>
      </w:r>
      <w:r w:rsidR="003531F7" w:rsidRPr="005E140C">
        <w:rPr>
          <w:rFonts w:ascii="Arial" w:hAnsi="Arial"/>
          <w:sz w:val="24"/>
        </w:rPr>
        <w:t>Platon Szkolenia i Konferencje Sp.  z o.o., ul. Chabrowa 39/7, 52-200 Wysoka (Wrocław)</w:t>
      </w:r>
      <w:r w:rsidRPr="003531F7">
        <w:rPr>
          <w:rFonts w:ascii="Arial" w:hAnsi="Arial" w:cs="Arial"/>
          <w:sz w:val="24"/>
          <w:szCs w:val="24"/>
        </w:rPr>
        <w:t xml:space="preserve">, </w:t>
      </w:r>
      <w:r w:rsidR="005B3CE3" w:rsidRPr="00C30FB1">
        <w:rPr>
          <w:rFonts w:ascii="Arial" w:hAnsi="Arial"/>
          <w:sz w:val="24"/>
        </w:rPr>
        <w:t>na podstawie</w:t>
      </w:r>
      <w:r w:rsidR="005C7E06">
        <w:rPr>
          <w:rFonts w:ascii="Arial" w:hAnsi="Arial"/>
          <w:sz w:val="24"/>
        </w:rPr>
        <w:t>:</w:t>
      </w:r>
    </w:p>
    <w:p w14:paraId="124F54F6" w14:textId="79E405C9" w:rsidR="005B3CE3" w:rsidRPr="00953386" w:rsidRDefault="005C7E06" w:rsidP="005B3CE3">
      <w:pPr>
        <w:pStyle w:val="Akapitzlist"/>
        <w:tabs>
          <w:tab w:val="left" w:pos="426"/>
        </w:tabs>
        <w:spacing w:before="120" w:afterLines="40" w:after="96" w:line="360" w:lineRule="auto"/>
        <w:ind w:left="284"/>
        <w:contextualSpacing w:val="0"/>
        <w:rPr>
          <w:rFonts w:ascii="Arial" w:hAnsi="Arial" w:cs="Arial"/>
          <w:sz w:val="24"/>
          <w:szCs w:val="24"/>
        </w:rPr>
      </w:pPr>
      <w:r>
        <w:rPr>
          <w:rFonts w:ascii="Arial" w:hAnsi="Arial"/>
          <w:sz w:val="24"/>
        </w:rPr>
        <w:t>-</w:t>
      </w:r>
      <w:r w:rsidR="005B3CE3" w:rsidRPr="00C30FB1">
        <w:rPr>
          <w:rFonts w:ascii="Arial" w:hAnsi="Arial"/>
          <w:sz w:val="24"/>
        </w:rPr>
        <w:t xml:space="preserve"> </w:t>
      </w:r>
      <w:r w:rsidR="005B3CE3" w:rsidRPr="00C30FB1">
        <w:rPr>
          <w:rFonts w:ascii="Arial" w:hAnsi="Arial" w:cs="Arial"/>
          <w:color w:val="000000" w:themeColor="text1"/>
          <w:sz w:val="24"/>
          <w:szCs w:val="24"/>
        </w:rPr>
        <w:t xml:space="preserve">art. 226 ust. 1 pkt 10) ustawy </w:t>
      </w:r>
      <w:proofErr w:type="spellStart"/>
      <w:r w:rsidR="005B3CE3" w:rsidRPr="00C30FB1">
        <w:rPr>
          <w:rFonts w:ascii="Arial" w:hAnsi="Arial" w:cs="Arial"/>
          <w:color w:val="000000" w:themeColor="text1"/>
          <w:sz w:val="24"/>
          <w:szCs w:val="24"/>
        </w:rPr>
        <w:t>Pzp</w:t>
      </w:r>
      <w:proofErr w:type="spellEnd"/>
      <w:r w:rsidR="005B3CE3" w:rsidRPr="00C30FB1">
        <w:rPr>
          <w:rFonts w:ascii="Arial" w:hAnsi="Arial" w:cs="Arial"/>
          <w:color w:val="000000" w:themeColor="text1"/>
          <w:sz w:val="24"/>
          <w:szCs w:val="24"/>
        </w:rPr>
        <w:t>. W</w:t>
      </w:r>
      <w:r w:rsidR="005B3CE3">
        <w:rPr>
          <w:rFonts w:ascii="Arial" w:hAnsi="Arial" w:cs="Arial"/>
          <w:color w:val="000000" w:themeColor="text1"/>
          <w:sz w:val="24"/>
          <w:szCs w:val="24"/>
        </w:rPr>
        <w:t> </w:t>
      </w:r>
      <w:r w:rsidR="005B3CE3" w:rsidRPr="00C30FB1">
        <w:rPr>
          <w:rFonts w:ascii="Arial" w:hAnsi="Arial" w:cs="Arial"/>
          <w:color w:val="000000" w:themeColor="text1"/>
          <w:sz w:val="24"/>
          <w:szCs w:val="24"/>
        </w:rPr>
        <w:t xml:space="preserve"> dniu </w:t>
      </w:r>
      <w:r w:rsidR="005B3CE3">
        <w:rPr>
          <w:rFonts w:ascii="Arial" w:hAnsi="Arial" w:cs="Arial"/>
          <w:color w:val="000000" w:themeColor="text1"/>
          <w:sz w:val="24"/>
          <w:szCs w:val="24"/>
        </w:rPr>
        <w:t xml:space="preserve">7 listopada </w:t>
      </w:r>
      <w:r w:rsidR="005B3CE3" w:rsidRPr="00C30FB1">
        <w:rPr>
          <w:rFonts w:ascii="Arial" w:hAnsi="Arial" w:cs="Arial"/>
          <w:color w:val="000000" w:themeColor="text1"/>
          <w:sz w:val="24"/>
          <w:szCs w:val="24"/>
        </w:rPr>
        <w:t xml:space="preserve">2024 r. Zamawiający wysłał do Wykonawcy wezwanie do złożenia wyjaśnień treści złożonej oferty skierowane na podstawie art. 223 ust. 1 ustawy </w:t>
      </w:r>
      <w:proofErr w:type="spellStart"/>
      <w:r w:rsidR="005B3CE3" w:rsidRPr="00C30FB1">
        <w:rPr>
          <w:rFonts w:ascii="Arial" w:hAnsi="Arial" w:cs="Arial"/>
          <w:color w:val="000000" w:themeColor="text1"/>
          <w:sz w:val="24"/>
          <w:szCs w:val="24"/>
        </w:rPr>
        <w:t>Pzp</w:t>
      </w:r>
      <w:proofErr w:type="spellEnd"/>
      <w:r w:rsidR="005B3CE3" w:rsidRPr="00C30FB1">
        <w:rPr>
          <w:rFonts w:ascii="Arial" w:hAnsi="Arial" w:cs="Arial"/>
          <w:color w:val="000000" w:themeColor="text1"/>
          <w:sz w:val="24"/>
          <w:szCs w:val="24"/>
        </w:rPr>
        <w:t xml:space="preserve"> w celu złożenia wyjaśnień, z jakich powodów zastosował </w:t>
      </w:r>
      <w:r w:rsidR="005B3CE3">
        <w:rPr>
          <w:rFonts w:ascii="Arial" w:hAnsi="Arial" w:cs="Arial"/>
          <w:color w:val="000000" w:themeColor="text1"/>
          <w:sz w:val="24"/>
          <w:szCs w:val="24"/>
        </w:rPr>
        <w:t>zwolnienie z</w:t>
      </w:r>
      <w:r w:rsidR="005B3CE3" w:rsidRPr="00C30FB1">
        <w:rPr>
          <w:rFonts w:ascii="Arial" w:hAnsi="Arial" w:cs="Arial"/>
          <w:color w:val="000000" w:themeColor="text1"/>
          <w:sz w:val="24"/>
          <w:szCs w:val="24"/>
        </w:rPr>
        <w:t xml:space="preserve"> VAT. W  zakreślonym terminie Wykonawca </w:t>
      </w:r>
      <w:r w:rsidR="005B3CE3" w:rsidRPr="00E03B82">
        <w:rPr>
          <w:rFonts w:ascii="Arial" w:hAnsi="Arial"/>
          <w:sz w:val="24"/>
        </w:rPr>
        <w:t>udzielił  następujących wyjaśnień</w:t>
      </w:r>
      <w:r w:rsidR="005B3CE3">
        <w:rPr>
          <w:rFonts w:ascii="Arial" w:hAnsi="Arial"/>
          <w:sz w:val="24"/>
        </w:rPr>
        <w:t>:</w:t>
      </w:r>
      <w:r w:rsidR="005B3CE3" w:rsidRPr="00C30FB1">
        <w:rPr>
          <w:rFonts w:ascii="Open Sans" w:hAnsi="Open Sans" w:cs="Open Sans"/>
          <w:color w:val="666666"/>
          <w:sz w:val="21"/>
          <w:szCs w:val="21"/>
          <w:shd w:val="clear" w:color="auto" w:fill="FFFFFF"/>
        </w:rPr>
        <w:t xml:space="preserve"> </w:t>
      </w:r>
      <w:r w:rsidR="00953386" w:rsidRPr="00953386">
        <w:rPr>
          <w:rFonts w:ascii="Arial" w:hAnsi="Arial" w:cs="Arial"/>
          <w:color w:val="666666"/>
          <w:sz w:val="24"/>
          <w:szCs w:val="24"/>
          <w:shd w:val="clear" w:color="auto" w:fill="FFFFFF"/>
        </w:rPr>
        <w:t>„</w:t>
      </w:r>
      <w:r w:rsidR="00953386" w:rsidRPr="00953386">
        <w:rPr>
          <w:rFonts w:ascii="Arial" w:hAnsi="Arial" w:cs="Arial"/>
          <w:sz w:val="24"/>
          <w:szCs w:val="24"/>
        </w:rPr>
        <w:t xml:space="preserve">W odpowiedzi na pismo z dnia </w:t>
      </w:r>
      <w:r w:rsidR="00953386" w:rsidRPr="00953386">
        <w:rPr>
          <w:rFonts w:ascii="Arial" w:hAnsi="Arial" w:cs="Arial"/>
          <w:sz w:val="24"/>
          <w:szCs w:val="24"/>
        </w:rPr>
        <w:lastRenderedPageBreak/>
        <w:t>7.11.2024 odnośnie stawki vat zastosowanej przez naszą firmę uprzejmie informujemy, iż zgodnie z</w:t>
      </w:r>
      <w:r w:rsidR="005E2D0B">
        <w:rPr>
          <w:rFonts w:ascii="Arial" w:hAnsi="Arial" w:cs="Arial"/>
          <w:sz w:val="24"/>
          <w:szCs w:val="24"/>
        </w:rPr>
        <w:t> </w:t>
      </w:r>
      <w:r w:rsidR="00953386" w:rsidRPr="00953386">
        <w:rPr>
          <w:rFonts w:ascii="Arial" w:hAnsi="Arial" w:cs="Arial"/>
          <w:sz w:val="24"/>
          <w:szCs w:val="24"/>
        </w:rPr>
        <w:t xml:space="preserve"> art </w:t>
      </w:r>
      <w:r w:rsidR="005E2D0B">
        <w:rPr>
          <w:rFonts w:ascii="Arial" w:hAnsi="Arial" w:cs="Arial"/>
          <w:sz w:val="24"/>
          <w:szCs w:val="24"/>
        </w:rPr>
        <w:t> </w:t>
      </w:r>
      <w:r w:rsidR="00953386" w:rsidRPr="00953386">
        <w:rPr>
          <w:rFonts w:ascii="Arial" w:hAnsi="Arial" w:cs="Arial"/>
          <w:sz w:val="24"/>
          <w:szCs w:val="24"/>
        </w:rPr>
        <w:t>43 ust 1 pkt 29 lit. c ustawy o VAT, nasza firma korzysta ze zwolnienia podatkowego w związku ze świadczeniem usług ściśle związanych z</w:t>
      </w:r>
      <w:r w:rsidR="005E2D0B">
        <w:rPr>
          <w:rFonts w:ascii="Arial" w:hAnsi="Arial" w:cs="Arial"/>
          <w:sz w:val="24"/>
          <w:szCs w:val="24"/>
        </w:rPr>
        <w:t> </w:t>
      </w:r>
      <w:r w:rsidR="00953386" w:rsidRPr="00953386">
        <w:rPr>
          <w:rFonts w:ascii="Arial" w:hAnsi="Arial" w:cs="Arial"/>
          <w:sz w:val="24"/>
          <w:szCs w:val="24"/>
        </w:rPr>
        <w:t xml:space="preserve"> wykonywaniem szkoleń/kursów - finansowanych ze środków publicznych. Dotyczy to także przypadków, gdy nie wykonujemy bezpośrednio usług kształcenia i</w:t>
      </w:r>
      <w:r w:rsidR="005E2D0B">
        <w:rPr>
          <w:rFonts w:ascii="Arial" w:hAnsi="Arial" w:cs="Arial"/>
          <w:sz w:val="24"/>
          <w:szCs w:val="24"/>
        </w:rPr>
        <w:t> </w:t>
      </w:r>
      <w:r w:rsidR="00953386" w:rsidRPr="00953386">
        <w:rPr>
          <w:rFonts w:ascii="Arial" w:hAnsi="Arial" w:cs="Arial"/>
          <w:sz w:val="24"/>
          <w:szCs w:val="24"/>
        </w:rPr>
        <w:t xml:space="preserve"> szkolenia w danym zamówieniu. Zgodnie z dokumentacją postępowania, przedmiotem zamówienia jest” Świadczenie usługi hotelarskiej i restauracyjnej podczas szkolenia, które odbędzie się w terminie 09-10 grudnia 2024 r. na terenie województwa łódzkiego.” Na powyższe posiadamy stosowną Interpretację Indywidualną ILPP1/443 752/13-4/AI wydaną przez Ministra Finansów - Dyrektora Izby Skarbowej w Poznaniu z dnia 20 listopada 2013 r., jako wykładni prawnej dla naszej jednostki oraz wydaną 08.10.2015 roku decyzję nr 0201- 15-005228 Izby Skarbowej we Wrocławiu w postępowaniu kontrolnym w przedmiocie stosowania zwolnienia przedmiotowego naszej jednostki w zakresie art 43 ust 1 pkt 29 lit. c ustawy o VAT w przetargach publicznych, których przedmiotem jest organizacja szkoleń. Stąd kwota netto jest równa kwocie brutto zamówienia. Należy w tym miejscu przytoczyć także stanowisko Krajowej Izby Odwoławczej (KIO 1/2023), która nie miała wątpliwości orzekając w tym przedmiocie w sprawie naszej spółki przeciwko PKP PLK. S.A. Biorąc pod uwagę charakter indywidualny powyższych postanowień, nie można tego traktować jako zastosowanie szersze, co mogło budzić w tym wypadku wątpliwości Zamawiającego. Równocześnie podkreślić należy, że interpretacja przepisów prawa podatkowego ma charakter indywidualny i dotyczy wyłącznie jednostki, której daną interpretację wydał Minister Finansów. Zobowiązania podatkowe stanowią zakres praw i obowiązków, i to podatnik odpowiada za ich realizację przed organami podatkowymi. W tym miejscu należy bezspornie zauważyć, iż na podstawie powyższych wyjaśnień oraz wskazania podstawy prawnej, nasza spółka uzyskała zamówienia w postępowaniach o</w:t>
      </w:r>
      <w:r w:rsidR="005E2D0B">
        <w:rPr>
          <w:rFonts w:ascii="Arial" w:hAnsi="Arial" w:cs="Arial"/>
          <w:sz w:val="24"/>
          <w:szCs w:val="24"/>
        </w:rPr>
        <w:t> </w:t>
      </w:r>
      <w:r w:rsidR="00953386" w:rsidRPr="00953386">
        <w:rPr>
          <w:rFonts w:ascii="Arial" w:hAnsi="Arial" w:cs="Arial"/>
          <w:sz w:val="24"/>
          <w:szCs w:val="24"/>
        </w:rPr>
        <w:t xml:space="preserve"> tożsamym przedmiocie świadczonych usług (organizacja logistyczna wydarzeń bez świadczenia usługi szkolenia) w latach ubiegłych m.in. dla Sądu Okręgowego we Wrocławiu, Sądu Okręgowego w Poznaniu, Sądu Okręgowego w Kielcach, PKP PLK S.A., czy Sądu Okręgowego w Tarnowie. Decyzja organu podatkowego w przedmiotowej sprawie </w:t>
      </w:r>
      <w:r w:rsidR="00953386" w:rsidRPr="00953386">
        <w:rPr>
          <w:rFonts w:ascii="Arial" w:hAnsi="Arial" w:cs="Arial"/>
          <w:sz w:val="24"/>
          <w:szCs w:val="24"/>
        </w:rPr>
        <w:lastRenderedPageBreak/>
        <w:t>ma rozstrzygające znaczenie w sferze zobowiązań podatkowych. Zgodnie bowiem z art. 14k Ordynacji podatkowej zastosowanie się do interpretacji nie może szkodzić podatnikowi. Jednak oczywistym jest, że w</w:t>
      </w:r>
      <w:r w:rsidR="005E2D0B">
        <w:t> </w:t>
      </w:r>
      <w:r w:rsidR="00953386" w:rsidRPr="00953386">
        <w:rPr>
          <w:rFonts w:ascii="Arial" w:hAnsi="Arial" w:cs="Arial"/>
          <w:sz w:val="24"/>
          <w:szCs w:val="24"/>
        </w:rPr>
        <w:t xml:space="preserve"> decyzji organ podatkowy nie może błędnie zastosować normy prawnej, nawet jeżeli konieczność taka wynika z interpretacji. Błędna interpretacja zwalnia z</w:t>
      </w:r>
      <w:r w:rsidR="005E2D0B">
        <w:rPr>
          <w:rFonts w:ascii="Arial" w:hAnsi="Arial" w:cs="Arial"/>
          <w:sz w:val="24"/>
          <w:szCs w:val="24"/>
        </w:rPr>
        <w:t> </w:t>
      </w:r>
      <w:r w:rsidR="00953386" w:rsidRPr="00953386">
        <w:rPr>
          <w:rFonts w:ascii="Arial" w:hAnsi="Arial" w:cs="Arial"/>
          <w:sz w:val="24"/>
          <w:szCs w:val="24"/>
        </w:rPr>
        <w:t xml:space="preserve"> odpowiedzialności karno-skarbowej, ewentualnie z konieczności zapłaty odsetek za zwłokę. Należy jednakże podkreślić, iż w przedmiotowej sprawie posiadamy również prawomocną decyzję organu podatkowego II instancji (Izba Skarbowa we Wrocławiu) wskazującą w uzasadnieniu, że posiadana przez nas interpretacja indywidualna jest prawidłowa w tego typu przypadkach. Oznacza to, że dysponując konkretną interpretacją indywidualną podatnik w opisanych w</w:t>
      </w:r>
      <w:r w:rsidR="005E2D0B">
        <w:rPr>
          <w:rFonts w:ascii="Arial" w:hAnsi="Arial" w:cs="Arial"/>
          <w:sz w:val="24"/>
          <w:szCs w:val="24"/>
        </w:rPr>
        <w:t> </w:t>
      </w:r>
      <w:r w:rsidR="00953386" w:rsidRPr="00953386">
        <w:rPr>
          <w:rFonts w:ascii="Arial" w:hAnsi="Arial" w:cs="Arial"/>
          <w:sz w:val="24"/>
          <w:szCs w:val="24"/>
        </w:rPr>
        <w:t xml:space="preserve"> interpretacji stanach faktycznych właściwie nie powinien zachować się inaczej niż wskazano w interpretacji. Rezygnuje bowiem wtedy z ochrony, jaką daje mu ten dokument. Decyzja Dyrektora Izby Skarbowej wskazuje zakres obowiązywania interpretacji przez organy podatkowe oraz sposób opodatkowania nas w tych stanach faktycznych przez organy podatkowe. Trudno zatem twierdzić, że oba te dokumenty nie służą udowodnieniu okoliczności mających dla sprawy istotne znaczenie. Ponadto wskazać należy, że zgodnie z art. 212 Ordynacji podatkowej decyzja podatkowa wiąże ten organ. Zatem z całą pewnością przyjąć należy, że w</w:t>
      </w:r>
      <w:r w:rsidR="005E2D0B">
        <w:rPr>
          <w:rFonts w:ascii="Arial" w:hAnsi="Arial" w:cs="Arial"/>
          <w:sz w:val="24"/>
          <w:szCs w:val="24"/>
        </w:rPr>
        <w:t> </w:t>
      </w:r>
      <w:r w:rsidR="00953386" w:rsidRPr="00953386">
        <w:rPr>
          <w:rFonts w:ascii="Arial" w:hAnsi="Arial" w:cs="Arial"/>
          <w:sz w:val="24"/>
          <w:szCs w:val="24"/>
        </w:rPr>
        <w:t xml:space="preserve"> opisanych w interpretacji i decyzji stanach faktycznych mamy prawo do zastosowania stawki Vat „</w:t>
      </w:r>
      <w:proofErr w:type="spellStart"/>
      <w:r w:rsidR="00953386" w:rsidRPr="00953386">
        <w:rPr>
          <w:rFonts w:ascii="Arial" w:hAnsi="Arial" w:cs="Arial"/>
          <w:sz w:val="24"/>
          <w:szCs w:val="24"/>
        </w:rPr>
        <w:t>zw</w:t>
      </w:r>
      <w:proofErr w:type="spellEnd"/>
      <w:r w:rsidR="00953386" w:rsidRPr="00953386">
        <w:rPr>
          <w:rFonts w:ascii="Arial" w:hAnsi="Arial" w:cs="Arial"/>
          <w:sz w:val="24"/>
          <w:szCs w:val="24"/>
        </w:rPr>
        <w:t>”. Należy również podkreślić, ze w związku ze szczególnym, indywidualnym charakterem interpretacji indywidualnej, który wynika z art. 14k Ordynacji podatkowej, nawet jeżeli obiektywnie rzecz biorąc opisane w</w:t>
      </w:r>
      <w:r w:rsidR="005E2D0B">
        <w:rPr>
          <w:rFonts w:ascii="Arial" w:hAnsi="Arial" w:cs="Arial"/>
          <w:sz w:val="24"/>
          <w:szCs w:val="24"/>
        </w:rPr>
        <w:t> </w:t>
      </w:r>
      <w:r w:rsidR="00953386" w:rsidRPr="00953386">
        <w:rPr>
          <w:rFonts w:ascii="Arial" w:hAnsi="Arial" w:cs="Arial"/>
          <w:sz w:val="24"/>
          <w:szCs w:val="24"/>
        </w:rPr>
        <w:t xml:space="preserve"> SWZ czynności powinny być opodatkowane inną stawką podatkową, to przyjęcie za prawidłową i obowiązującą w przedmiotowej sprawie mija się z celem i jest nieuprawnione. To bowiem nasza jednostka jest podatnikiem podatku VAT i to ona ma obowiązek stosować właściwą stawkę opodatkowania. To naszą jednostkę organy podatkowe ewentualnie pociągną do odpowiedzialności z tego tytułu i to jego od tej odpowiedzialności zwalnia interpretacja indywidualna wydana przez Ministra Finansów. W tym miejscu należy zaznaczyć, iż w wątpliwościach dotyczących zastosowania prawidłowej stawki podatkowej uprawnionym organem do wskazania odpowiedniej wartości są wyłącznie urzędy administracji skarbowej, a </w:t>
      </w:r>
      <w:r w:rsidR="00953386" w:rsidRPr="00953386">
        <w:rPr>
          <w:rFonts w:ascii="Arial" w:hAnsi="Arial" w:cs="Arial"/>
          <w:sz w:val="24"/>
          <w:szCs w:val="24"/>
        </w:rPr>
        <w:lastRenderedPageBreak/>
        <w:t>w sporach sądowych – sądy administracyjne. Dlatego Wojewódzki Sąd Administracyjny w Szczecinie w prawomocnym wyroku z dnia 24 czerwca 2020 r., I SA/</w:t>
      </w:r>
      <w:proofErr w:type="spellStart"/>
      <w:r w:rsidR="00953386" w:rsidRPr="00953386">
        <w:rPr>
          <w:rFonts w:ascii="Arial" w:hAnsi="Arial" w:cs="Arial"/>
          <w:sz w:val="24"/>
          <w:szCs w:val="24"/>
        </w:rPr>
        <w:t>Sz</w:t>
      </w:r>
      <w:proofErr w:type="spellEnd"/>
      <w:r w:rsidR="00953386" w:rsidRPr="00953386">
        <w:rPr>
          <w:rFonts w:ascii="Arial" w:hAnsi="Arial" w:cs="Arial"/>
          <w:sz w:val="24"/>
          <w:szCs w:val="24"/>
        </w:rPr>
        <w:t>/87/20 stwierdził, że w przypadku podatku od towarów i usług zastosowanie do danej czynności podlegającej opodatkowaniu właściwej stawki podatku następuje ex lege (z mocy prawa). W tym przypadku dla naszej spółki jest to prawomocna decyzja organów skarbowych. Ponadto stwierdził, iż konkretna czynność opodatkowana jest niezależnie od tego, co wykazał zamawiający w specyfikacji istotnych warunków zamówienia, projekcie umowy czy ogłoszeniu o</w:t>
      </w:r>
      <w:r w:rsidR="005E2D0B">
        <w:rPr>
          <w:rFonts w:ascii="Arial" w:hAnsi="Arial" w:cs="Arial"/>
          <w:sz w:val="24"/>
          <w:szCs w:val="24"/>
        </w:rPr>
        <w:t xml:space="preserve">  </w:t>
      </w:r>
      <w:r w:rsidR="00953386" w:rsidRPr="00953386">
        <w:rPr>
          <w:rFonts w:ascii="Arial" w:hAnsi="Arial" w:cs="Arial"/>
          <w:sz w:val="24"/>
          <w:szCs w:val="24"/>
        </w:rPr>
        <w:t xml:space="preserve"> zamówieniu w trakcie prowadzonego postępowania przetargowego. Bez wpływu na taki obowiązek pozostają okoliczności, że np. zgodnie z ustawą - Prawo zamówień publicznych w ogłoszeniu wskazuje się stawkę podatku Sąd podzielił pogląd wyrażony w wyroku NSA z dnia 3 października 2018 r., I FSK 1994/16, że to właśnie podatnik jest obowiązany do samodzielnego zaklasyfikowania usług (towarów) oraz do ustalenia i wskazania na fakturze prawidłowej stawki podatku. Podatnik, który chce należycie wywiązać się ze spoczywającego na nim obowiązku i jednocześnie uniknąć negatywnych konsekwencji podatkowych, jeśli ma wątpliwości co do prawidłowej stawki podatku, może wystąpić o wydanie indywidualnej interpretacji przepisów prawa podatkowego. I taka czynność została przez naszą jednostkę zastosowana. Równocześnie podkreślić należy, że interpretacja przepisów prawa podatkowego ma charakter indywidualny, nie może więc dziwić, że dwa podmioty będą dysponowały odmiennymi interpretacjami. Każdy z nich w zakresie własnych zobowiązań powinien kierować się własną interpretacją. Zobowiązania podatkowe stanowią zakres praw i obowiązków i to podatnik odpowiada za ich realizację przed organami podatkowymi. tym miejscu należy bezspornie zauważyć, iż na podstawie powyższych wyjaśnień oraz wskazania podstawy prawnej, a w szczególności wskazane przepisy prawa, interpretacje indywidualne oraz decyzje organów podatkowych, należy jednoznacznie stwierdzić, iż nasza jednostka, działając w zgodzie z obowiązującymi przepisami, prawidłowo zastosowała zwolnienie z podatku od towarów i usług (VAT) na podstawie art. 43 ust. 1 pkt 29 lit. c ustawy o VAT. Zastosowane zwolnienie VAT znajduje pełne uzasadnienie w interpretacjach wydanych przez Ministra Finansów oraz w decyzjach organów </w:t>
      </w:r>
      <w:r w:rsidR="00953386" w:rsidRPr="00953386">
        <w:rPr>
          <w:rFonts w:ascii="Arial" w:hAnsi="Arial" w:cs="Arial"/>
          <w:sz w:val="24"/>
          <w:szCs w:val="24"/>
        </w:rPr>
        <w:lastRenderedPageBreak/>
        <w:t>podatkowych, które w sposób klarowny i wiążący dla naszej jednostki określają zasady opodatkowania świadczonych przez nas usług. Potwierdza to także orzecznictwo sądów administracyjnych, które jednoznacznie wskazuje, że podatnik jest zobowiązany do samodzielnego określenia właściwej stawki podatkowej, i jeżeli takie posiada, to również opierając się na posiadanych interpretacjach. W związku z powyższym, podkreślamy że nie ma wątpliwości co do prawidłowości zastosowania przez naszą jednostkę zwolnienia z VAT a ewentualne wątpliwości są w naszej ocenie nieuzasadnione, natomiast podjęte przez nas działania są zgodne z obowiązującymi przepisami prawa podatkowego oraz uzyskanymi interpretacjami. Jednocześnie podkreślamy, że jako podatnik spełniający wszystkie wymogi prawne, zobowiązani jesteśmy do stosowania się do wydanych interpretacji indywidualnych, co wyklucza możliwość zastosowania innej stawki VAT niż wskazana w tych interpretacjach</w:t>
      </w:r>
      <w:r w:rsidR="00953386">
        <w:rPr>
          <w:rFonts w:ascii="Arial" w:hAnsi="Arial" w:cs="Arial"/>
          <w:sz w:val="24"/>
          <w:szCs w:val="24"/>
        </w:rPr>
        <w:t>”</w:t>
      </w:r>
      <w:r w:rsidR="00953386" w:rsidRPr="00953386">
        <w:rPr>
          <w:rFonts w:ascii="Arial" w:hAnsi="Arial" w:cs="Arial"/>
          <w:sz w:val="24"/>
          <w:szCs w:val="24"/>
        </w:rPr>
        <w:t>.</w:t>
      </w:r>
    </w:p>
    <w:p w14:paraId="7956DD1C" w14:textId="5CCDC361" w:rsidR="001E0CB1" w:rsidRDefault="005B3CE3" w:rsidP="001E0CB1">
      <w:pPr>
        <w:spacing w:line="360" w:lineRule="auto"/>
        <w:ind w:left="284"/>
        <w:rPr>
          <w:rFonts w:ascii="Arial" w:eastAsia="Times New Roman" w:hAnsi="Arial" w:cs="Arial"/>
          <w:kern w:val="0"/>
          <w:sz w:val="24"/>
          <w:szCs w:val="24"/>
          <w:lang w:eastAsia="pl-PL"/>
          <w14:ligatures w14:val="none"/>
        </w:rPr>
      </w:pPr>
      <w:r w:rsidRPr="001E0CB1">
        <w:rPr>
          <w:rFonts w:ascii="Arial" w:hAnsi="Arial" w:cs="Arial"/>
          <w:sz w:val="24"/>
        </w:rPr>
        <w:t xml:space="preserve">Zgodnie z rozdziałem XIX ust. </w:t>
      </w:r>
      <w:r w:rsidR="002C7679">
        <w:rPr>
          <w:rFonts w:ascii="Arial" w:hAnsi="Arial" w:cs="Arial"/>
          <w:sz w:val="24"/>
        </w:rPr>
        <w:t>6</w:t>
      </w:r>
      <w:r w:rsidRPr="001E0CB1">
        <w:rPr>
          <w:rFonts w:ascii="Arial" w:hAnsi="Arial" w:cs="Arial"/>
          <w:sz w:val="24"/>
        </w:rPr>
        <w:t xml:space="preserve"> Specyfikacji Warunków Zamówienia Wykonawca przygotowując ofertę winien zastosować właściwe stawki podatku VAT zgodnie z  ustawą z dnia 11 marca 2004 r. o podatku od towarów i usług (Dz. U. z 2024 poz. 361</w:t>
      </w:r>
      <w:r w:rsidR="002C7679">
        <w:rPr>
          <w:rFonts w:ascii="Arial" w:hAnsi="Arial" w:cs="Arial"/>
          <w:sz w:val="24"/>
        </w:rPr>
        <w:t xml:space="preserve"> ze zm.</w:t>
      </w:r>
      <w:r w:rsidRPr="001E0CB1">
        <w:rPr>
          <w:rFonts w:ascii="Arial" w:hAnsi="Arial" w:cs="Arial"/>
          <w:sz w:val="24"/>
        </w:rPr>
        <w:t xml:space="preserve">)  oraz rozporządzeniami wykonawczymi do ustawy. </w:t>
      </w:r>
      <w:r w:rsidR="002D0EA0" w:rsidRPr="001E0CB1">
        <w:rPr>
          <w:rFonts w:ascii="Arial" w:hAnsi="Arial" w:cs="Arial"/>
          <w:sz w:val="24"/>
        </w:rPr>
        <w:t>Zgodnie z art. 43 ust. 1 pkt 29  lit. c ustawy o VAT: „</w:t>
      </w:r>
      <w:r w:rsidR="002D0EA0" w:rsidRPr="001E0CB1">
        <w:rPr>
          <w:rFonts w:ascii="Arial" w:eastAsia="Times New Roman" w:hAnsi="Arial" w:cs="Arial"/>
          <w:kern w:val="0"/>
          <w:sz w:val="24"/>
          <w:szCs w:val="24"/>
          <w:lang w:eastAsia="pl-PL"/>
          <w14:ligatures w14:val="none"/>
        </w:rPr>
        <w:t>Art.  43.  [Zwolnienia przedmiotowe]</w:t>
      </w:r>
      <w:r w:rsidR="002D0EA0" w:rsidRPr="002D0EA0">
        <w:rPr>
          <w:rFonts w:ascii="Arial" w:eastAsia="Times New Roman" w:hAnsi="Arial" w:cs="Arial"/>
          <w:kern w:val="0"/>
          <w:sz w:val="24"/>
          <w:szCs w:val="24"/>
          <w:lang w:eastAsia="pl-PL"/>
          <w14:ligatures w14:val="none"/>
        </w:rPr>
        <w:t>1. Zwalnia się od podatku:</w:t>
      </w:r>
      <w:r w:rsidR="002D0EA0" w:rsidRPr="001E0CB1">
        <w:rPr>
          <w:rFonts w:ascii="Arial" w:eastAsia="Times New Roman" w:hAnsi="Arial" w:cs="Arial"/>
          <w:kern w:val="0"/>
          <w:sz w:val="24"/>
          <w:szCs w:val="24"/>
          <w:lang w:eastAsia="pl-PL"/>
          <w14:ligatures w14:val="none"/>
        </w:rPr>
        <w:t xml:space="preserve"> </w:t>
      </w:r>
      <w:r w:rsidR="002D0EA0" w:rsidRPr="002D0EA0">
        <w:rPr>
          <w:rFonts w:ascii="Arial" w:eastAsia="Times New Roman" w:hAnsi="Arial" w:cs="Arial"/>
          <w:kern w:val="0"/>
          <w:sz w:val="24"/>
          <w:szCs w:val="24"/>
          <w:lang w:eastAsia="pl-PL"/>
          <w14:ligatures w14:val="none"/>
        </w:rPr>
        <w:t xml:space="preserve">29) </w:t>
      </w:r>
      <w:r w:rsidR="002D0EA0" w:rsidRPr="001E0CB1">
        <w:rPr>
          <w:rFonts w:ascii="Arial" w:eastAsia="Times New Roman" w:hAnsi="Arial" w:cs="Arial"/>
          <w:kern w:val="0"/>
          <w:sz w:val="24"/>
          <w:szCs w:val="24"/>
          <w:lang w:eastAsia="pl-PL"/>
          <w14:ligatures w14:val="none"/>
        </w:rPr>
        <w:t xml:space="preserve">usługi kształcenia zawodowego lub przekwalifikowania zawodowego, inne niż wymienione w pkt 26: c) </w:t>
      </w:r>
      <w:r w:rsidR="002D0EA0" w:rsidRPr="002D0EA0">
        <w:rPr>
          <w:rFonts w:ascii="Arial" w:eastAsia="Times New Roman" w:hAnsi="Arial" w:cs="Arial"/>
          <w:kern w:val="0"/>
          <w:sz w:val="24"/>
          <w:szCs w:val="24"/>
          <w:lang w:eastAsia="pl-PL"/>
          <w14:ligatures w14:val="none"/>
        </w:rPr>
        <w:t>finansowane w całości ze środków publicznych</w:t>
      </w:r>
      <w:r w:rsidR="001E0CB1" w:rsidRPr="001E0CB1">
        <w:rPr>
          <w:rFonts w:ascii="Arial" w:eastAsia="Times New Roman" w:hAnsi="Arial" w:cs="Arial"/>
          <w:kern w:val="0"/>
          <w:sz w:val="24"/>
          <w:szCs w:val="24"/>
          <w:lang w:eastAsia="pl-PL"/>
          <w14:ligatures w14:val="none"/>
        </w:rPr>
        <w:t> </w:t>
      </w:r>
      <w:r w:rsidR="001E0CB1" w:rsidRPr="001E0CB1">
        <w:rPr>
          <w:rFonts w:ascii="Arial" w:eastAsia="Times New Roman" w:hAnsi="Arial" w:cs="Arial"/>
          <w:kern w:val="0"/>
          <w:sz w:val="24"/>
          <w:szCs w:val="24"/>
          <w:lang w:eastAsia="pl-PL"/>
          <w14:ligatures w14:val="none"/>
        </w:rPr>
        <w:br/>
      </w:r>
      <w:r w:rsidR="002D0EA0" w:rsidRPr="002D0EA0">
        <w:rPr>
          <w:rFonts w:ascii="Arial" w:eastAsia="Times New Roman" w:hAnsi="Arial" w:cs="Arial"/>
          <w:kern w:val="0"/>
          <w:sz w:val="24"/>
          <w:szCs w:val="24"/>
          <w:lang w:eastAsia="pl-PL"/>
          <w14:ligatures w14:val="none"/>
        </w:rPr>
        <w:t>- oraz świadczenie usług i dostawę towarów ściśle z tymi usługami związane</w:t>
      </w:r>
      <w:r w:rsidR="001E0CB1" w:rsidRPr="001E0CB1">
        <w:rPr>
          <w:rFonts w:ascii="Arial" w:eastAsia="Times New Roman" w:hAnsi="Arial" w:cs="Arial"/>
          <w:kern w:val="0"/>
          <w:sz w:val="24"/>
          <w:szCs w:val="24"/>
          <w:lang w:eastAsia="pl-PL"/>
          <w14:ligatures w14:val="none"/>
        </w:rPr>
        <w:t>”. Natomiast zgodnie z art. 43 ust. 17a ustawy o VAT</w:t>
      </w:r>
      <w:r w:rsidR="001E0CB1">
        <w:rPr>
          <w:rFonts w:ascii="Arial" w:eastAsia="Times New Roman" w:hAnsi="Arial" w:cs="Arial"/>
          <w:kern w:val="0"/>
          <w:sz w:val="24"/>
          <w:szCs w:val="24"/>
          <w:lang w:eastAsia="pl-PL"/>
          <w14:ligatures w14:val="none"/>
        </w:rPr>
        <w:t>: „</w:t>
      </w:r>
      <w:r w:rsidR="001E0CB1" w:rsidRPr="001E0CB1">
        <w:rPr>
          <w:rFonts w:ascii="Arial" w:eastAsia="Times New Roman" w:hAnsi="Arial" w:cs="Arial"/>
          <w:kern w:val="0"/>
          <w:sz w:val="24"/>
          <w:szCs w:val="24"/>
          <w:lang w:eastAsia="pl-PL"/>
          <w14:ligatures w14:val="none"/>
        </w:rPr>
        <w:t xml:space="preserve">Zwolnienia, o których mowa w ust. 1 pkt 18a, 23, 26, 28, 29 i 33 lit. a, mają zastosowanie do dostawy towarów lub świadczenia usług ściśle związanych z usługami podstawowymi, dokonywanych przez podmioty świadczące usługi podstawowe. </w:t>
      </w:r>
    </w:p>
    <w:p w14:paraId="0AC8DA15" w14:textId="42D183B0" w:rsidR="00953386" w:rsidRPr="00B11FCB" w:rsidRDefault="001E0CB1" w:rsidP="004B5963">
      <w:pPr>
        <w:spacing w:line="360" w:lineRule="auto"/>
        <w:ind w:left="284"/>
        <w:rPr>
          <w:rFonts w:ascii="Arial" w:eastAsia="Times New Roman" w:hAnsi="Arial" w:cs="Arial"/>
          <w:color w:val="FF0000"/>
          <w:kern w:val="0"/>
          <w:sz w:val="24"/>
          <w:szCs w:val="24"/>
          <w:lang w:eastAsia="pl-PL"/>
          <w14:ligatures w14:val="none"/>
        </w:rPr>
      </w:pPr>
      <w:r>
        <w:rPr>
          <w:rFonts w:ascii="Arial" w:eastAsia="Times New Roman" w:hAnsi="Arial" w:cs="Arial"/>
          <w:kern w:val="0"/>
          <w:sz w:val="24"/>
          <w:szCs w:val="24"/>
          <w:lang w:eastAsia="pl-PL"/>
          <w14:ligatures w14:val="none"/>
        </w:rPr>
        <w:t>W związku z powyższym przedmiot</w:t>
      </w:r>
      <w:r w:rsidR="004B5963">
        <w:rPr>
          <w:rFonts w:ascii="Arial" w:eastAsia="Times New Roman" w:hAnsi="Arial" w:cs="Arial"/>
          <w:kern w:val="0"/>
          <w:sz w:val="24"/>
          <w:szCs w:val="24"/>
          <w:lang w:eastAsia="pl-PL"/>
          <w14:ligatures w14:val="none"/>
        </w:rPr>
        <w:t>em niniejszego</w:t>
      </w:r>
      <w:r>
        <w:rPr>
          <w:rFonts w:ascii="Arial" w:eastAsia="Times New Roman" w:hAnsi="Arial" w:cs="Arial"/>
          <w:kern w:val="0"/>
          <w:sz w:val="24"/>
          <w:szCs w:val="24"/>
          <w:lang w:eastAsia="pl-PL"/>
          <w14:ligatures w14:val="none"/>
        </w:rPr>
        <w:t xml:space="preserve"> post</w:t>
      </w:r>
      <w:r w:rsidR="004B5963">
        <w:rPr>
          <w:rFonts w:ascii="Arial" w:eastAsia="Times New Roman" w:hAnsi="Arial" w:cs="Arial"/>
          <w:kern w:val="0"/>
          <w:sz w:val="24"/>
          <w:szCs w:val="24"/>
          <w:lang w:eastAsia="pl-PL"/>
          <w14:ligatures w14:val="none"/>
        </w:rPr>
        <w:t>ę</w:t>
      </w:r>
      <w:r>
        <w:rPr>
          <w:rFonts w:ascii="Arial" w:eastAsia="Times New Roman" w:hAnsi="Arial" w:cs="Arial"/>
          <w:kern w:val="0"/>
          <w:sz w:val="24"/>
          <w:szCs w:val="24"/>
          <w:lang w:eastAsia="pl-PL"/>
          <w14:ligatures w14:val="none"/>
        </w:rPr>
        <w:t>powani</w:t>
      </w:r>
      <w:r w:rsidR="004B5963">
        <w:rPr>
          <w:rFonts w:ascii="Arial" w:eastAsia="Times New Roman" w:hAnsi="Arial" w:cs="Arial"/>
          <w:kern w:val="0"/>
          <w:sz w:val="24"/>
          <w:szCs w:val="24"/>
          <w:lang w:eastAsia="pl-PL"/>
          <w14:ligatures w14:val="none"/>
        </w:rPr>
        <w:t>a</w:t>
      </w:r>
      <w:r>
        <w:rPr>
          <w:rFonts w:ascii="Arial" w:eastAsia="Times New Roman" w:hAnsi="Arial" w:cs="Arial"/>
          <w:kern w:val="0"/>
          <w:sz w:val="24"/>
          <w:szCs w:val="24"/>
          <w:lang w:eastAsia="pl-PL"/>
          <w14:ligatures w14:val="none"/>
        </w:rPr>
        <w:t xml:space="preserve"> </w:t>
      </w:r>
      <w:r w:rsidR="004B5963">
        <w:rPr>
          <w:rFonts w:ascii="Arial" w:eastAsia="Times New Roman" w:hAnsi="Arial" w:cs="Arial"/>
          <w:kern w:val="0"/>
          <w:sz w:val="24"/>
          <w:szCs w:val="24"/>
          <w:lang w:eastAsia="pl-PL"/>
          <w14:ligatures w14:val="none"/>
        </w:rPr>
        <w:t xml:space="preserve">jest </w:t>
      </w:r>
      <w:r>
        <w:rPr>
          <w:rFonts w:ascii="Arial" w:eastAsia="Times New Roman" w:hAnsi="Arial" w:cs="Arial"/>
          <w:kern w:val="0"/>
          <w:sz w:val="24"/>
          <w:szCs w:val="24"/>
          <w:lang w:eastAsia="pl-PL"/>
          <w14:ligatures w14:val="none"/>
        </w:rPr>
        <w:t>świadczeni</w:t>
      </w:r>
      <w:r w:rsidR="004B5963">
        <w:rPr>
          <w:rFonts w:ascii="Arial" w:eastAsia="Times New Roman" w:hAnsi="Arial" w:cs="Arial"/>
          <w:kern w:val="0"/>
          <w:sz w:val="24"/>
          <w:szCs w:val="24"/>
          <w:lang w:eastAsia="pl-PL"/>
          <w14:ligatures w14:val="none"/>
        </w:rPr>
        <w:t>e</w:t>
      </w:r>
      <w:r>
        <w:rPr>
          <w:rFonts w:ascii="Arial" w:eastAsia="Times New Roman" w:hAnsi="Arial" w:cs="Arial"/>
          <w:kern w:val="0"/>
          <w:sz w:val="24"/>
          <w:szCs w:val="24"/>
          <w:lang w:eastAsia="pl-PL"/>
          <w14:ligatures w14:val="none"/>
        </w:rPr>
        <w:t xml:space="preserve"> usługi hotelarsko – restauracyjnej</w:t>
      </w:r>
      <w:r w:rsidR="004B5963">
        <w:rPr>
          <w:rFonts w:ascii="Arial" w:eastAsia="Times New Roman" w:hAnsi="Arial" w:cs="Arial"/>
          <w:kern w:val="0"/>
          <w:sz w:val="24"/>
          <w:szCs w:val="24"/>
          <w:lang w:eastAsia="pl-PL"/>
          <w14:ligatures w14:val="none"/>
        </w:rPr>
        <w:t xml:space="preserve"> w</w:t>
      </w:r>
      <w:r>
        <w:rPr>
          <w:rFonts w:ascii="Arial" w:eastAsia="Times New Roman" w:hAnsi="Arial" w:cs="Arial"/>
          <w:kern w:val="0"/>
          <w:sz w:val="24"/>
          <w:szCs w:val="24"/>
          <w:lang w:eastAsia="pl-PL"/>
          <w14:ligatures w14:val="none"/>
        </w:rPr>
        <w:t xml:space="preserve"> ramach </w:t>
      </w:r>
      <w:r w:rsidR="004B5963">
        <w:rPr>
          <w:rFonts w:ascii="Arial" w:eastAsia="Times New Roman" w:hAnsi="Arial" w:cs="Arial"/>
          <w:kern w:val="0"/>
          <w:sz w:val="24"/>
          <w:szCs w:val="24"/>
          <w:lang w:eastAsia="pl-PL"/>
          <w14:ligatures w14:val="none"/>
        </w:rPr>
        <w:t xml:space="preserve">którego </w:t>
      </w:r>
      <w:r>
        <w:rPr>
          <w:rFonts w:ascii="Arial" w:eastAsia="Times New Roman" w:hAnsi="Arial" w:cs="Arial"/>
          <w:kern w:val="0"/>
          <w:sz w:val="24"/>
          <w:szCs w:val="24"/>
          <w:lang w:eastAsia="pl-PL"/>
          <w14:ligatures w14:val="none"/>
        </w:rPr>
        <w:t xml:space="preserve">ma być zapewniony nocleg, wyżywienie i najem </w:t>
      </w:r>
      <w:r w:rsidR="004B5963">
        <w:rPr>
          <w:rFonts w:ascii="Arial" w:eastAsia="Times New Roman" w:hAnsi="Arial" w:cs="Arial"/>
          <w:kern w:val="0"/>
          <w:sz w:val="24"/>
          <w:szCs w:val="24"/>
          <w:lang w:eastAsia="pl-PL"/>
          <w14:ligatures w14:val="none"/>
        </w:rPr>
        <w:t>s</w:t>
      </w:r>
      <w:r>
        <w:rPr>
          <w:rFonts w:ascii="Arial" w:eastAsia="Times New Roman" w:hAnsi="Arial" w:cs="Arial"/>
          <w:kern w:val="0"/>
          <w:sz w:val="24"/>
          <w:szCs w:val="24"/>
          <w:lang w:eastAsia="pl-PL"/>
          <w14:ligatures w14:val="none"/>
        </w:rPr>
        <w:t>ali</w:t>
      </w:r>
      <w:r w:rsidR="004B5963">
        <w:rPr>
          <w:rFonts w:ascii="Arial" w:eastAsia="Times New Roman" w:hAnsi="Arial" w:cs="Arial"/>
          <w:kern w:val="0"/>
          <w:sz w:val="24"/>
          <w:szCs w:val="24"/>
          <w:lang w:eastAsia="pl-PL"/>
          <w14:ligatures w14:val="none"/>
        </w:rPr>
        <w:t xml:space="preserve">, a więc niniejsza usługa nie podnosi kwalifikacji zawodowych </w:t>
      </w:r>
      <w:r w:rsidRPr="001E0CB1">
        <w:rPr>
          <w:rFonts w:ascii="Arial" w:eastAsia="Times New Roman" w:hAnsi="Arial" w:cs="Arial"/>
          <w:kern w:val="0"/>
          <w:sz w:val="24"/>
          <w:szCs w:val="24"/>
          <w:lang w:eastAsia="pl-PL"/>
          <w14:ligatures w14:val="none"/>
        </w:rPr>
        <w:t>i nie jest usługa podstawow</w:t>
      </w:r>
      <w:r w:rsidR="004B5963">
        <w:rPr>
          <w:rFonts w:ascii="Arial" w:eastAsia="Times New Roman" w:hAnsi="Arial" w:cs="Arial"/>
          <w:kern w:val="0"/>
          <w:sz w:val="24"/>
          <w:szCs w:val="24"/>
          <w:lang w:eastAsia="pl-PL"/>
          <w14:ligatures w14:val="none"/>
        </w:rPr>
        <w:t>ą</w:t>
      </w:r>
      <w:r w:rsidRPr="001E0CB1">
        <w:rPr>
          <w:rFonts w:ascii="Arial" w:eastAsia="Times New Roman" w:hAnsi="Arial" w:cs="Arial"/>
          <w:kern w:val="0"/>
          <w:sz w:val="24"/>
          <w:szCs w:val="24"/>
          <w:lang w:eastAsia="pl-PL"/>
          <w14:ligatures w14:val="none"/>
        </w:rPr>
        <w:t>. Podstawow</w:t>
      </w:r>
      <w:r w:rsidR="004B5963">
        <w:rPr>
          <w:rFonts w:ascii="Arial" w:eastAsia="Times New Roman" w:hAnsi="Arial" w:cs="Arial"/>
          <w:kern w:val="0"/>
          <w:sz w:val="24"/>
          <w:szCs w:val="24"/>
          <w:lang w:eastAsia="pl-PL"/>
          <w14:ligatures w14:val="none"/>
        </w:rPr>
        <w:t>ą</w:t>
      </w:r>
      <w:r w:rsidRPr="001E0CB1">
        <w:rPr>
          <w:rFonts w:ascii="Arial" w:eastAsia="Times New Roman" w:hAnsi="Arial" w:cs="Arial"/>
          <w:kern w:val="0"/>
          <w:sz w:val="24"/>
          <w:szCs w:val="24"/>
          <w:lang w:eastAsia="pl-PL"/>
          <w14:ligatures w14:val="none"/>
        </w:rPr>
        <w:t xml:space="preserve"> usługą jest szkolenie, które nie jest przedmiotem niniejszego post</w:t>
      </w:r>
      <w:r w:rsidR="00B11FCB">
        <w:rPr>
          <w:rFonts w:ascii="Arial" w:eastAsia="Times New Roman" w:hAnsi="Arial" w:cs="Arial"/>
          <w:kern w:val="0"/>
          <w:sz w:val="24"/>
          <w:szCs w:val="24"/>
          <w:lang w:eastAsia="pl-PL"/>
          <w14:ligatures w14:val="none"/>
        </w:rPr>
        <w:t>ę</w:t>
      </w:r>
      <w:r w:rsidRPr="001E0CB1">
        <w:rPr>
          <w:rFonts w:ascii="Arial" w:eastAsia="Times New Roman" w:hAnsi="Arial" w:cs="Arial"/>
          <w:kern w:val="0"/>
          <w:sz w:val="24"/>
          <w:szCs w:val="24"/>
          <w:lang w:eastAsia="pl-PL"/>
          <w14:ligatures w14:val="none"/>
        </w:rPr>
        <w:t>powania</w:t>
      </w:r>
      <w:r w:rsidR="00492FE5">
        <w:rPr>
          <w:rFonts w:ascii="Arial" w:eastAsia="Times New Roman" w:hAnsi="Arial" w:cs="Arial"/>
          <w:kern w:val="0"/>
          <w:sz w:val="24"/>
          <w:szCs w:val="24"/>
          <w:lang w:eastAsia="pl-PL"/>
          <w14:ligatures w14:val="none"/>
        </w:rPr>
        <w:t>.</w:t>
      </w:r>
    </w:p>
    <w:p w14:paraId="14636981" w14:textId="7C0540B2" w:rsidR="003E51D5" w:rsidRDefault="005B3CE3" w:rsidP="005C7E06">
      <w:pPr>
        <w:pStyle w:val="Akapitzlist"/>
        <w:spacing w:before="120" w:after="120" w:line="360" w:lineRule="auto"/>
        <w:ind w:left="284"/>
        <w:rPr>
          <w:rFonts w:ascii="Arial" w:hAnsi="Arial"/>
          <w:sz w:val="24"/>
        </w:rPr>
      </w:pPr>
      <w:r w:rsidRPr="002D7264">
        <w:rPr>
          <w:rFonts w:ascii="Arial" w:hAnsi="Arial"/>
          <w:sz w:val="24"/>
        </w:rPr>
        <w:lastRenderedPageBreak/>
        <w:t xml:space="preserve">W związku z powyższym oferta podlega odrzuceniu na podstawie art. 226 ust. 1 pkt 10) ustawy </w:t>
      </w:r>
      <w:proofErr w:type="spellStart"/>
      <w:r w:rsidRPr="002D7264">
        <w:rPr>
          <w:rFonts w:ascii="Arial" w:hAnsi="Arial"/>
          <w:sz w:val="24"/>
        </w:rPr>
        <w:t>Pzp</w:t>
      </w:r>
      <w:proofErr w:type="spellEnd"/>
      <w:r w:rsidRPr="002D7264">
        <w:rPr>
          <w:rFonts w:ascii="Arial" w:hAnsi="Arial"/>
          <w:sz w:val="24"/>
        </w:rPr>
        <w:t>, ponieważ zawiera błędy w obliczeniu ceny lub kosztu.</w:t>
      </w:r>
      <w:bookmarkEnd w:id="4"/>
    </w:p>
    <w:p w14:paraId="5B18C61F" w14:textId="56C8A5B2" w:rsidR="004A1F63" w:rsidRPr="004A1F63" w:rsidRDefault="005C7E06" w:rsidP="000F7B60">
      <w:pPr>
        <w:pStyle w:val="Akapitzlist"/>
        <w:spacing w:after="120" w:line="360" w:lineRule="auto"/>
        <w:ind w:left="284"/>
        <w:contextualSpacing w:val="0"/>
        <w:rPr>
          <w:rFonts w:ascii="Arial" w:hAnsi="Arial" w:cs="Arial"/>
          <w:sz w:val="24"/>
          <w:szCs w:val="24"/>
        </w:rPr>
      </w:pPr>
      <w:r>
        <w:rPr>
          <w:rFonts w:ascii="Arial" w:hAnsi="Arial"/>
          <w:sz w:val="24"/>
        </w:rPr>
        <w:t xml:space="preserve">- </w:t>
      </w:r>
      <w:r w:rsidRPr="00C30FB1">
        <w:rPr>
          <w:rFonts w:ascii="Arial" w:hAnsi="Arial"/>
          <w:sz w:val="24"/>
        </w:rPr>
        <w:t xml:space="preserve"> </w:t>
      </w:r>
      <w:r w:rsidRPr="004A1F63">
        <w:rPr>
          <w:rFonts w:ascii="Arial" w:hAnsi="Arial" w:cs="Arial"/>
          <w:sz w:val="24"/>
          <w:szCs w:val="24"/>
        </w:rPr>
        <w:t xml:space="preserve">art. 226 ust. 1 pkt 12) ustawy </w:t>
      </w:r>
      <w:proofErr w:type="spellStart"/>
      <w:r w:rsidRPr="004A1F63">
        <w:rPr>
          <w:rFonts w:ascii="Arial" w:hAnsi="Arial" w:cs="Arial"/>
          <w:sz w:val="24"/>
          <w:szCs w:val="24"/>
        </w:rPr>
        <w:t>Pzp</w:t>
      </w:r>
      <w:proofErr w:type="spellEnd"/>
      <w:r w:rsidRPr="004A1F63">
        <w:rPr>
          <w:rFonts w:ascii="Arial" w:hAnsi="Arial" w:cs="Arial"/>
          <w:sz w:val="24"/>
          <w:szCs w:val="24"/>
        </w:rPr>
        <w:t>. W dniu  20 listopada</w:t>
      </w:r>
      <w:r w:rsidR="004A1F63" w:rsidRPr="004A1F63">
        <w:rPr>
          <w:rFonts w:ascii="Arial" w:hAnsi="Arial" w:cs="Arial"/>
          <w:sz w:val="24"/>
          <w:szCs w:val="24"/>
        </w:rPr>
        <w:t xml:space="preserve"> 2024 roku na podstawie art. 307 ust. 2 ustawy </w:t>
      </w:r>
      <w:proofErr w:type="spellStart"/>
      <w:r w:rsidR="004A1F63" w:rsidRPr="004A1F63">
        <w:rPr>
          <w:rFonts w:ascii="Arial" w:hAnsi="Arial" w:cs="Arial"/>
          <w:sz w:val="24"/>
          <w:szCs w:val="24"/>
        </w:rPr>
        <w:t>Pzp</w:t>
      </w:r>
      <w:proofErr w:type="spellEnd"/>
      <w:r w:rsidR="004A1F63" w:rsidRPr="004A1F63">
        <w:rPr>
          <w:rFonts w:ascii="Arial" w:hAnsi="Arial" w:cs="Arial"/>
          <w:sz w:val="24"/>
          <w:szCs w:val="24"/>
        </w:rPr>
        <w:t xml:space="preserve"> Zamawiający zwrócił się do Wykonawcy o wyrażenie zgody na przedłużenie terminu związania ofertą. W zakreślonym terminie Wykonawca nie wyraził zgody na przedłużenie terminu związania ofertą. </w:t>
      </w:r>
      <w:r w:rsidR="000F7B60">
        <w:rPr>
          <w:rFonts w:ascii="Arial" w:hAnsi="Arial" w:cs="Arial"/>
          <w:sz w:val="24"/>
          <w:szCs w:val="24"/>
        </w:rPr>
        <w:br/>
      </w:r>
      <w:r w:rsidR="004A1F63" w:rsidRPr="004A1F63">
        <w:rPr>
          <w:rFonts w:ascii="Arial" w:hAnsi="Arial" w:cs="Arial"/>
          <w:sz w:val="24"/>
          <w:szCs w:val="24"/>
        </w:rPr>
        <w:t xml:space="preserve">W związku z powyższym oferta podlega odrzuceniu na podstawie art. 226 ust. 1 pkt 12) ustawy </w:t>
      </w:r>
      <w:proofErr w:type="spellStart"/>
      <w:r w:rsidR="004A1F63" w:rsidRPr="004A1F63">
        <w:rPr>
          <w:rFonts w:ascii="Arial" w:hAnsi="Arial" w:cs="Arial"/>
          <w:sz w:val="24"/>
          <w:szCs w:val="24"/>
        </w:rPr>
        <w:t>Pzp</w:t>
      </w:r>
      <w:proofErr w:type="spellEnd"/>
      <w:r w:rsidR="004A1F63" w:rsidRPr="004A1F63">
        <w:rPr>
          <w:rFonts w:ascii="Arial" w:hAnsi="Arial" w:cs="Arial"/>
          <w:sz w:val="24"/>
          <w:szCs w:val="24"/>
        </w:rPr>
        <w:t>, ponieważ Wykonawca nie wyraził pisemnej zgody na przedłużenie terminu związania ofertą.</w:t>
      </w:r>
    </w:p>
    <w:p w14:paraId="33407109" w14:textId="47184331" w:rsidR="00F13614" w:rsidRPr="00B11FCB" w:rsidRDefault="00E03B82" w:rsidP="00B11FCB">
      <w:pPr>
        <w:pStyle w:val="Akapitzlist"/>
        <w:numPr>
          <w:ilvl w:val="0"/>
          <w:numId w:val="1"/>
        </w:numPr>
        <w:spacing w:before="120" w:after="600" w:line="360" w:lineRule="auto"/>
        <w:ind w:left="284" w:hanging="142"/>
        <w:contextualSpacing w:val="0"/>
        <w:jc w:val="both"/>
        <w:rPr>
          <w:rFonts w:ascii="Arial" w:hAnsi="Arial" w:cs="Arial"/>
          <w:sz w:val="24"/>
          <w:szCs w:val="24"/>
        </w:rPr>
      </w:pPr>
      <w:r w:rsidRPr="00E83B07">
        <w:rPr>
          <w:rFonts w:ascii="Arial" w:hAnsi="Arial"/>
          <w:sz w:val="24"/>
          <w:szCs w:val="24"/>
        </w:rPr>
        <w:t>Wybór najkorzystniejszej oferty</w:t>
      </w:r>
      <w:r w:rsidR="00B11FCB">
        <w:rPr>
          <w:rFonts w:ascii="Arial" w:hAnsi="Arial"/>
          <w:sz w:val="24"/>
          <w:szCs w:val="24"/>
        </w:rPr>
        <w:t>:</w:t>
      </w:r>
    </w:p>
    <w:tbl>
      <w:tblPr>
        <w:tblW w:w="1091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1985"/>
        <w:gridCol w:w="1559"/>
        <w:gridCol w:w="1843"/>
        <w:gridCol w:w="1984"/>
        <w:gridCol w:w="1276"/>
        <w:gridCol w:w="1277"/>
      </w:tblGrid>
      <w:tr w:rsidR="00E83B07" w:rsidRPr="008C5366" w14:paraId="3B1B94D0" w14:textId="77777777" w:rsidTr="00B11FCB">
        <w:trPr>
          <w:trHeight w:val="1136"/>
        </w:trPr>
        <w:tc>
          <w:tcPr>
            <w:tcW w:w="992" w:type="dxa"/>
            <w:tcBorders>
              <w:top w:val="single" w:sz="4" w:space="0" w:color="000000"/>
              <w:left w:val="single" w:sz="4" w:space="0" w:color="000000"/>
              <w:bottom w:val="single" w:sz="4" w:space="0" w:color="000000"/>
              <w:right w:val="single" w:sz="4" w:space="0" w:color="000000"/>
            </w:tcBorders>
            <w:vAlign w:val="center"/>
          </w:tcPr>
          <w:p w14:paraId="4366609B" w14:textId="77777777" w:rsidR="00E83B07" w:rsidRPr="00E0656E" w:rsidRDefault="00E83B07" w:rsidP="00FD179E">
            <w:pPr>
              <w:pStyle w:val="msonormalcxspdrugie"/>
              <w:spacing w:line="276" w:lineRule="auto"/>
              <w:contextualSpacing/>
              <w:jc w:val="center"/>
              <w:rPr>
                <w:rFonts w:ascii="Arial" w:hAnsi="Arial" w:cs="Arial"/>
                <w:bCs/>
              </w:rPr>
            </w:pPr>
            <w:r w:rsidRPr="00E0656E">
              <w:rPr>
                <w:rFonts w:ascii="Arial" w:hAnsi="Arial" w:cs="Arial"/>
                <w:bCs/>
              </w:rPr>
              <w:t>Nr oferty</w:t>
            </w:r>
          </w:p>
        </w:tc>
        <w:tc>
          <w:tcPr>
            <w:tcW w:w="1985" w:type="dxa"/>
            <w:tcBorders>
              <w:top w:val="single" w:sz="4" w:space="0" w:color="000000"/>
              <w:left w:val="single" w:sz="4" w:space="0" w:color="000000"/>
              <w:bottom w:val="single" w:sz="4" w:space="0" w:color="000000"/>
              <w:right w:val="single" w:sz="4" w:space="0" w:color="000000"/>
            </w:tcBorders>
            <w:vAlign w:val="center"/>
          </w:tcPr>
          <w:p w14:paraId="4994F559" w14:textId="77777777" w:rsidR="00E83B07" w:rsidRPr="00E0656E" w:rsidRDefault="00E83B07" w:rsidP="00FD179E">
            <w:pPr>
              <w:pStyle w:val="msonormalcxspdrugie"/>
              <w:spacing w:line="276" w:lineRule="auto"/>
              <w:contextualSpacing/>
              <w:jc w:val="center"/>
              <w:rPr>
                <w:rFonts w:ascii="Arial" w:hAnsi="Arial" w:cs="Arial"/>
                <w:bCs/>
              </w:rPr>
            </w:pPr>
            <w:r w:rsidRPr="00E0656E">
              <w:rPr>
                <w:rFonts w:ascii="Arial" w:hAnsi="Arial" w:cs="Arial"/>
                <w:bCs/>
              </w:rPr>
              <w:t>Nazwa wykonawcy</w:t>
            </w:r>
          </w:p>
          <w:p w14:paraId="72952568" w14:textId="77777777" w:rsidR="00E83B07" w:rsidRPr="00E0656E" w:rsidRDefault="00E83B07" w:rsidP="00FD179E">
            <w:pPr>
              <w:pStyle w:val="msonormalcxspdrugie"/>
              <w:spacing w:line="276" w:lineRule="auto"/>
              <w:contextualSpacing/>
              <w:jc w:val="center"/>
              <w:rPr>
                <w:rFonts w:ascii="Arial" w:hAnsi="Arial" w:cs="Arial"/>
                <w:bCs/>
              </w:rPr>
            </w:pPr>
            <w:r w:rsidRPr="00E0656E">
              <w:rPr>
                <w:rFonts w:ascii="Arial" w:hAnsi="Arial" w:cs="Arial"/>
                <w:bCs/>
              </w:rPr>
              <w:t>(imię i nazwisko Wykonawcy)</w:t>
            </w:r>
          </w:p>
        </w:tc>
        <w:tc>
          <w:tcPr>
            <w:tcW w:w="1559" w:type="dxa"/>
            <w:tcBorders>
              <w:top w:val="single" w:sz="4" w:space="0" w:color="000000"/>
              <w:left w:val="single" w:sz="4" w:space="0" w:color="000000"/>
              <w:bottom w:val="single" w:sz="4" w:space="0" w:color="000000"/>
              <w:right w:val="single" w:sz="4" w:space="0" w:color="000000"/>
            </w:tcBorders>
            <w:vAlign w:val="center"/>
          </w:tcPr>
          <w:p w14:paraId="5EC8EAF5" w14:textId="77777777" w:rsidR="00E83B07" w:rsidRPr="00E0656E" w:rsidRDefault="00E83B07" w:rsidP="00FD179E">
            <w:pPr>
              <w:pStyle w:val="msonormalcxspdrugie"/>
              <w:spacing w:line="276" w:lineRule="auto"/>
              <w:contextualSpacing/>
              <w:jc w:val="center"/>
              <w:rPr>
                <w:rFonts w:ascii="Arial" w:hAnsi="Arial" w:cs="Arial"/>
                <w:bCs/>
              </w:rPr>
            </w:pPr>
            <w:r w:rsidRPr="00E0656E">
              <w:rPr>
                <w:rFonts w:ascii="Arial" w:hAnsi="Arial" w:cs="Arial"/>
                <w:bCs/>
              </w:rPr>
              <w:t>Cena oferty</w:t>
            </w:r>
          </w:p>
        </w:tc>
        <w:tc>
          <w:tcPr>
            <w:tcW w:w="1843" w:type="dxa"/>
            <w:tcBorders>
              <w:top w:val="single" w:sz="4" w:space="0" w:color="000000"/>
              <w:left w:val="single" w:sz="4" w:space="0" w:color="000000"/>
              <w:bottom w:val="single" w:sz="4" w:space="0" w:color="000000"/>
              <w:right w:val="single" w:sz="4" w:space="0" w:color="000000"/>
            </w:tcBorders>
            <w:vAlign w:val="center"/>
          </w:tcPr>
          <w:p w14:paraId="5CEAB3A9" w14:textId="77777777" w:rsidR="00E83B07" w:rsidRPr="00E0656E" w:rsidRDefault="00E83B07" w:rsidP="00FD179E">
            <w:pPr>
              <w:pStyle w:val="msonormalcxspdrugie"/>
              <w:spacing w:line="276" w:lineRule="auto"/>
              <w:contextualSpacing/>
              <w:jc w:val="center"/>
              <w:rPr>
                <w:rFonts w:ascii="Arial" w:hAnsi="Arial" w:cs="Arial"/>
                <w:bCs/>
              </w:rPr>
            </w:pPr>
            <w:r w:rsidRPr="00E0656E">
              <w:rPr>
                <w:rFonts w:ascii="Arial" w:hAnsi="Arial" w:cs="Arial"/>
                <w:bCs/>
              </w:rPr>
              <w:t>Kryterium:</w:t>
            </w:r>
            <w:r w:rsidRPr="00E0656E">
              <w:rPr>
                <w:rFonts w:ascii="Arial" w:hAnsi="Arial" w:cs="Arial"/>
                <w:bCs/>
              </w:rPr>
              <w:br/>
              <w:t>Cena oferty brutto</w:t>
            </w:r>
          </w:p>
        </w:tc>
        <w:tc>
          <w:tcPr>
            <w:tcW w:w="1984" w:type="dxa"/>
            <w:tcBorders>
              <w:top w:val="single" w:sz="4" w:space="0" w:color="auto"/>
              <w:left w:val="single" w:sz="4" w:space="0" w:color="000000"/>
              <w:bottom w:val="single" w:sz="4" w:space="0" w:color="auto"/>
              <w:right w:val="single" w:sz="4" w:space="0" w:color="000000"/>
            </w:tcBorders>
          </w:tcPr>
          <w:p w14:paraId="32FB417F" w14:textId="77777777" w:rsidR="00E83B07" w:rsidRPr="00E0656E" w:rsidRDefault="00E83B07" w:rsidP="00FD179E">
            <w:pPr>
              <w:jc w:val="center"/>
              <w:rPr>
                <w:rFonts w:ascii="Arial" w:hAnsi="Arial" w:cs="Arial"/>
                <w:bCs/>
                <w:sz w:val="24"/>
                <w:szCs w:val="24"/>
              </w:rPr>
            </w:pPr>
            <w:r w:rsidRPr="00E0656E">
              <w:rPr>
                <w:rFonts w:ascii="Arial" w:hAnsi="Arial" w:cs="Arial"/>
                <w:bCs/>
                <w:sz w:val="24"/>
                <w:szCs w:val="24"/>
              </w:rPr>
              <w:t>Kryterium:</w:t>
            </w:r>
          </w:p>
          <w:p w14:paraId="6C0C7C93" w14:textId="77777777" w:rsidR="00E83B07" w:rsidRPr="00E0656E" w:rsidRDefault="00E83B07" w:rsidP="00FD179E">
            <w:pPr>
              <w:jc w:val="center"/>
              <w:rPr>
                <w:rFonts w:ascii="Arial" w:hAnsi="Arial" w:cs="Arial"/>
                <w:bCs/>
                <w:sz w:val="24"/>
                <w:szCs w:val="24"/>
              </w:rPr>
            </w:pPr>
            <w:r w:rsidRPr="00E0656E">
              <w:rPr>
                <w:rFonts w:ascii="Arial" w:hAnsi="Arial"/>
                <w:sz w:val="24"/>
                <w:szCs w:val="24"/>
              </w:rPr>
              <w:t>Standard hotelu/ośrodka szkoleniowego </w:t>
            </w:r>
          </w:p>
        </w:tc>
        <w:tc>
          <w:tcPr>
            <w:tcW w:w="1276" w:type="dxa"/>
            <w:tcBorders>
              <w:top w:val="single" w:sz="4" w:space="0" w:color="auto"/>
              <w:left w:val="single" w:sz="4" w:space="0" w:color="000000"/>
              <w:bottom w:val="single" w:sz="4" w:space="0" w:color="auto"/>
              <w:right w:val="single" w:sz="4" w:space="0" w:color="000000"/>
            </w:tcBorders>
          </w:tcPr>
          <w:p w14:paraId="0C5AC778" w14:textId="77777777" w:rsidR="00E83B07" w:rsidRDefault="00E83B07" w:rsidP="00FD179E">
            <w:pPr>
              <w:jc w:val="center"/>
              <w:rPr>
                <w:rFonts w:ascii="Arial" w:hAnsi="Arial" w:cs="Arial"/>
                <w:bCs/>
                <w:sz w:val="24"/>
                <w:szCs w:val="24"/>
              </w:rPr>
            </w:pPr>
          </w:p>
          <w:p w14:paraId="1067D18B" w14:textId="77777777" w:rsidR="00E83B07" w:rsidRDefault="00E83B07" w:rsidP="00F435A8">
            <w:pPr>
              <w:spacing w:after="0"/>
              <w:jc w:val="center"/>
              <w:rPr>
                <w:rFonts w:ascii="Arial" w:hAnsi="Arial" w:cs="Arial"/>
                <w:bCs/>
                <w:sz w:val="24"/>
                <w:szCs w:val="24"/>
              </w:rPr>
            </w:pPr>
            <w:r w:rsidRPr="00E0656E">
              <w:rPr>
                <w:rFonts w:ascii="Arial" w:hAnsi="Arial" w:cs="Arial"/>
                <w:bCs/>
                <w:sz w:val="24"/>
                <w:szCs w:val="24"/>
              </w:rPr>
              <w:t>Razem</w:t>
            </w:r>
          </w:p>
          <w:p w14:paraId="0505399D" w14:textId="0A755635" w:rsidR="00F435A8" w:rsidRDefault="00F435A8" w:rsidP="00FD179E">
            <w:pPr>
              <w:jc w:val="center"/>
              <w:rPr>
                <w:rFonts w:ascii="Arial" w:hAnsi="Arial" w:cs="Arial"/>
                <w:bCs/>
                <w:sz w:val="24"/>
                <w:szCs w:val="24"/>
              </w:rPr>
            </w:pPr>
            <w:r>
              <w:rPr>
                <w:rFonts w:ascii="Arial" w:hAnsi="Arial" w:cs="Arial"/>
                <w:bCs/>
                <w:sz w:val="24"/>
                <w:szCs w:val="24"/>
              </w:rPr>
              <w:t>liczba punktów</w:t>
            </w:r>
          </w:p>
          <w:p w14:paraId="7C7DED58" w14:textId="18338AA6" w:rsidR="00DE0DF2" w:rsidRPr="00E0656E" w:rsidRDefault="00DE0DF2" w:rsidP="00FD179E">
            <w:pPr>
              <w:jc w:val="center"/>
              <w:rPr>
                <w:rFonts w:ascii="Arial" w:hAnsi="Arial" w:cs="Arial"/>
                <w:bCs/>
                <w:sz w:val="24"/>
                <w:szCs w:val="24"/>
              </w:rPr>
            </w:pPr>
          </w:p>
        </w:tc>
        <w:tc>
          <w:tcPr>
            <w:tcW w:w="1277" w:type="dxa"/>
            <w:tcBorders>
              <w:top w:val="single" w:sz="4" w:space="0" w:color="auto"/>
              <w:left w:val="single" w:sz="4" w:space="0" w:color="000000"/>
              <w:bottom w:val="single" w:sz="4" w:space="0" w:color="auto"/>
              <w:right w:val="single" w:sz="4" w:space="0" w:color="000000"/>
            </w:tcBorders>
          </w:tcPr>
          <w:p w14:paraId="2970C722" w14:textId="77777777" w:rsidR="00E83B07" w:rsidRPr="00E0656E" w:rsidRDefault="00E83B07" w:rsidP="00FD179E">
            <w:pPr>
              <w:jc w:val="center"/>
              <w:rPr>
                <w:rFonts w:ascii="Arial" w:hAnsi="Arial" w:cs="Arial"/>
                <w:bCs/>
                <w:sz w:val="24"/>
                <w:szCs w:val="24"/>
              </w:rPr>
            </w:pPr>
          </w:p>
          <w:p w14:paraId="038E1272" w14:textId="4F9E9B0B" w:rsidR="00E83B07" w:rsidRPr="00E0656E" w:rsidRDefault="00E83B07" w:rsidP="00E83B07">
            <w:pPr>
              <w:rPr>
                <w:rFonts w:ascii="Arial" w:hAnsi="Arial" w:cs="Arial"/>
                <w:sz w:val="24"/>
                <w:szCs w:val="24"/>
              </w:rPr>
            </w:pPr>
            <w:r w:rsidRPr="00E0656E">
              <w:rPr>
                <w:rFonts w:ascii="Arial" w:hAnsi="Arial" w:cs="Arial"/>
                <w:sz w:val="24"/>
                <w:szCs w:val="24"/>
              </w:rPr>
              <w:t>Miejsce</w:t>
            </w:r>
          </w:p>
        </w:tc>
      </w:tr>
      <w:tr w:rsidR="00E83B07" w:rsidRPr="008C5366" w14:paraId="4EFF8763" w14:textId="77777777" w:rsidTr="00B11FCB">
        <w:trPr>
          <w:trHeight w:val="981"/>
        </w:trPr>
        <w:tc>
          <w:tcPr>
            <w:tcW w:w="992" w:type="dxa"/>
            <w:tcBorders>
              <w:top w:val="single" w:sz="4" w:space="0" w:color="000000"/>
              <w:left w:val="single" w:sz="4" w:space="0" w:color="000000"/>
              <w:bottom w:val="single" w:sz="4" w:space="0" w:color="000000"/>
              <w:right w:val="single" w:sz="4" w:space="0" w:color="000000"/>
            </w:tcBorders>
            <w:vAlign w:val="center"/>
          </w:tcPr>
          <w:p w14:paraId="1DABE1D5" w14:textId="651F3D13" w:rsidR="00E83B07" w:rsidRPr="00E0656E" w:rsidRDefault="00B11FCB" w:rsidP="00E448CB">
            <w:pPr>
              <w:pStyle w:val="Akapitzlist"/>
              <w:ind w:left="0"/>
              <w:jc w:val="center"/>
              <w:rPr>
                <w:rFonts w:ascii="Arial" w:hAnsi="Arial" w:cs="Arial"/>
                <w:sz w:val="24"/>
                <w:szCs w:val="24"/>
              </w:rPr>
            </w:pPr>
            <w:r>
              <w:rPr>
                <w:rFonts w:ascii="Arial" w:hAnsi="Arial" w:cs="Arial"/>
                <w:sz w:val="24"/>
                <w:szCs w:val="24"/>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660377A7" w14:textId="492254D6" w:rsidR="00E83B07" w:rsidRPr="00E0656E" w:rsidRDefault="00B11FCB" w:rsidP="00E83B07">
            <w:pPr>
              <w:autoSpaceDE w:val="0"/>
              <w:autoSpaceDN w:val="0"/>
              <w:adjustRightInd w:val="0"/>
              <w:spacing w:before="240" w:after="120"/>
              <w:jc w:val="center"/>
              <w:rPr>
                <w:rFonts w:ascii="Arial" w:hAnsi="Arial" w:cs="Arial"/>
                <w:sz w:val="24"/>
                <w:szCs w:val="24"/>
              </w:rPr>
            </w:pPr>
            <w:proofErr w:type="spellStart"/>
            <w:r w:rsidRPr="005E140C">
              <w:rPr>
                <w:rFonts w:ascii="Arial" w:hAnsi="Arial"/>
                <w:sz w:val="24"/>
              </w:rPr>
              <w:t>UpHotel</w:t>
            </w:r>
            <w:proofErr w:type="spellEnd"/>
            <w:r w:rsidRPr="005E140C">
              <w:rPr>
                <w:rFonts w:ascii="Arial" w:hAnsi="Arial"/>
                <w:sz w:val="24"/>
              </w:rPr>
              <w:t xml:space="preserve"> Sp. z o.o., ul. Solna 4, 58-500 Jelenia Góra</w:t>
            </w:r>
          </w:p>
        </w:tc>
        <w:tc>
          <w:tcPr>
            <w:tcW w:w="1559" w:type="dxa"/>
            <w:tcBorders>
              <w:top w:val="single" w:sz="4" w:space="0" w:color="000000"/>
              <w:left w:val="single" w:sz="4" w:space="0" w:color="000000"/>
              <w:bottom w:val="single" w:sz="4" w:space="0" w:color="000000"/>
              <w:right w:val="single" w:sz="4" w:space="0" w:color="000000"/>
            </w:tcBorders>
            <w:vAlign w:val="center"/>
          </w:tcPr>
          <w:p w14:paraId="2E122241" w14:textId="7B73392E" w:rsidR="00E83B07" w:rsidRPr="00E0656E" w:rsidRDefault="008111C5" w:rsidP="00E448CB">
            <w:pPr>
              <w:pStyle w:val="msonormalcxspdrugie"/>
              <w:spacing w:line="276" w:lineRule="auto"/>
              <w:contextualSpacing/>
              <w:jc w:val="center"/>
              <w:rPr>
                <w:rFonts w:ascii="Arial" w:hAnsi="Arial" w:cs="Arial"/>
                <w:bCs/>
                <w:iCs/>
              </w:rPr>
            </w:pPr>
            <w:r>
              <w:rPr>
                <w:rFonts w:ascii="Arial" w:hAnsi="Arial" w:cs="Arial"/>
              </w:rPr>
              <w:t>41 822,74</w:t>
            </w:r>
            <w:r w:rsidRPr="00437370">
              <w:rPr>
                <w:rFonts w:ascii="Arial" w:hAnsi="Arial" w:cs="Arial"/>
              </w:rPr>
              <w:t xml:space="preserve"> zł</w:t>
            </w:r>
          </w:p>
        </w:tc>
        <w:tc>
          <w:tcPr>
            <w:tcW w:w="1843" w:type="dxa"/>
            <w:tcBorders>
              <w:top w:val="single" w:sz="4" w:space="0" w:color="000000"/>
              <w:left w:val="single" w:sz="4" w:space="0" w:color="000000"/>
              <w:bottom w:val="single" w:sz="4" w:space="0" w:color="000000"/>
              <w:right w:val="single" w:sz="4" w:space="0" w:color="000000"/>
            </w:tcBorders>
            <w:vAlign w:val="center"/>
          </w:tcPr>
          <w:p w14:paraId="08B8D043" w14:textId="0A841645" w:rsidR="00E83B07" w:rsidRPr="00E0656E" w:rsidRDefault="008111C5" w:rsidP="00E448CB">
            <w:pPr>
              <w:pStyle w:val="msonormalcxspdrugie"/>
              <w:spacing w:line="276" w:lineRule="auto"/>
              <w:contextualSpacing/>
              <w:jc w:val="center"/>
              <w:rPr>
                <w:rFonts w:ascii="Arial" w:hAnsi="Arial" w:cs="Arial"/>
              </w:rPr>
            </w:pPr>
            <w:r>
              <w:rPr>
                <w:rFonts w:ascii="Arial" w:hAnsi="Arial" w:cs="Arial"/>
              </w:rPr>
              <w:t>60,00 pkt.</w:t>
            </w:r>
          </w:p>
        </w:tc>
        <w:tc>
          <w:tcPr>
            <w:tcW w:w="1984" w:type="dxa"/>
            <w:tcBorders>
              <w:top w:val="single" w:sz="4" w:space="0" w:color="auto"/>
              <w:left w:val="single" w:sz="4" w:space="0" w:color="000000"/>
              <w:bottom w:val="single" w:sz="4" w:space="0" w:color="auto"/>
              <w:right w:val="single" w:sz="4" w:space="0" w:color="000000"/>
            </w:tcBorders>
          </w:tcPr>
          <w:p w14:paraId="0FB8999C" w14:textId="77777777" w:rsidR="00E83B07" w:rsidRDefault="00E83B07" w:rsidP="00E0656E">
            <w:pPr>
              <w:jc w:val="center"/>
              <w:rPr>
                <w:rFonts w:ascii="Arial" w:hAnsi="Arial" w:cs="Arial"/>
                <w:sz w:val="24"/>
                <w:szCs w:val="24"/>
              </w:rPr>
            </w:pPr>
          </w:p>
          <w:p w14:paraId="0CBE6847" w14:textId="347EDC58" w:rsidR="008111C5" w:rsidRPr="00E0656E" w:rsidRDefault="008111C5" w:rsidP="00E0656E">
            <w:pPr>
              <w:jc w:val="center"/>
              <w:rPr>
                <w:rFonts w:ascii="Arial" w:hAnsi="Arial" w:cs="Arial"/>
                <w:sz w:val="24"/>
                <w:szCs w:val="24"/>
              </w:rPr>
            </w:pPr>
            <w:r>
              <w:rPr>
                <w:rFonts w:ascii="Arial" w:hAnsi="Arial" w:cs="Arial"/>
                <w:sz w:val="24"/>
                <w:szCs w:val="24"/>
              </w:rPr>
              <w:t>40,00 pkt</w:t>
            </w:r>
          </w:p>
        </w:tc>
        <w:tc>
          <w:tcPr>
            <w:tcW w:w="1276" w:type="dxa"/>
            <w:tcBorders>
              <w:top w:val="single" w:sz="4" w:space="0" w:color="auto"/>
              <w:left w:val="single" w:sz="4" w:space="0" w:color="000000"/>
              <w:bottom w:val="single" w:sz="4" w:space="0" w:color="auto"/>
              <w:right w:val="single" w:sz="4" w:space="0" w:color="000000"/>
            </w:tcBorders>
          </w:tcPr>
          <w:p w14:paraId="54CFD9F0" w14:textId="77777777" w:rsidR="00E83B07" w:rsidRDefault="00E83B07" w:rsidP="00E448CB">
            <w:pPr>
              <w:jc w:val="center"/>
              <w:rPr>
                <w:rFonts w:ascii="Arial" w:hAnsi="Arial" w:cs="Arial"/>
                <w:sz w:val="24"/>
                <w:szCs w:val="24"/>
              </w:rPr>
            </w:pPr>
          </w:p>
          <w:p w14:paraId="5D925121" w14:textId="009ABB4B" w:rsidR="008111C5" w:rsidRPr="00E0656E" w:rsidRDefault="008111C5" w:rsidP="00E448CB">
            <w:pPr>
              <w:jc w:val="center"/>
              <w:rPr>
                <w:rFonts w:ascii="Arial" w:hAnsi="Arial" w:cs="Arial"/>
                <w:sz w:val="24"/>
                <w:szCs w:val="24"/>
              </w:rPr>
            </w:pPr>
            <w:r>
              <w:rPr>
                <w:rFonts w:ascii="Arial" w:hAnsi="Arial" w:cs="Arial"/>
                <w:sz w:val="24"/>
                <w:szCs w:val="24"/>
              </w:rPr>
              <w:t>100,00 pkt.</w:t>
            </w:r>
          </w:p>
        </w:tc>
        <w:tc>
          <w:tcPr>
            <w:tcW w:w="1277" w:type="dxa"/>
            <w:tcBorders>
              <w:top w:val="single" w:sz="4" w:space="0" w:color="auto"/>
              <w:left w:val="single" w:sz="4" w:space="0" w:color="000000"/>
              <w:bottom w:val="single" w:sz="4" w:space="0" w:color="auto"/>
              <w:right w:val="single" w:sz="4" w:space="0" w:color="000000"/>
            </w:tcBorders>
          </w:tcPr>
          <w:p w14:paraId="332E24C6" w14:textId="77777777" w:rsidR="008111C5" w:rsidRDefault="008111C5" w:rsidP="00E83B07">
            <w:pPr>
              <w:jc w:val="center"/>
              <w:rPr>
                <w:rFonts w:ascii="Arial" w:hAnsi="Arial" w:cs="Arial"/>
                <w:sz w:val="24"/>
                <w:szCs w:val="24"/>
              </w:rPr>
            </w:pPr>
          </w:p>
          <w:p w14:paraId="7F0D8966" w14:textId="38A5294C" w:rsidR="00E83B07" w:rsidRPr="00E0656E" w:rsidRDefault="008111C5" w:rsidP="00E83B07">
            <w:pPr>
              <w:jc w:val="center"/>
              <w:rPr>
                <w:rFonts w:ascii="Arial" w:hAnsi="Arial" w:cs="Arial"/>
                <w:sz w:val="24"/>
                <w:szCs w:val="24"/>
              </w:rPr>
            </w:pPr>
            <w:r>
              <w:rPr>
                <w:rFonts w:ascii="Arial" w:hAnsi="Arial" w:cs="Arial"/>
                <w:sz w:val="24"/>
                <w:szCs w:val="24"/>
              </w:rPr>
              <w:t>I</w:t>
            </w:r>
          </w:p>
        </w:tc>
      </w:tr>
    </w:tbl>
    <w:p w14:paraId="7552AA31" w14:textId="7A371266" w:rsidR="005E2D0B" w:rsidRPr="005E2D0B" w:rsidRDefault="005E2D0B" w:rsidP="005E2D0B">
      <w:pPr>
        <w:pStyle w:val="Akapitzlist"/>
        <w:numPr>
          <w:ilvl w:val="0"/>
          <w:numId w:val="1"/>
        </w:numPr>
        <w:spacing w:before="120" w:after="120" w:line="336" w:lineRule="auto"/>
        <w:ind w:left="284"/>
        <w:rPr>
          <w:rFonts w:ascii="Arial" w:hAnsi="Arial"/>
          <w:sz w:val="24"/>
        </w:rPr>
      </w:pPr>
      <w:r>
        <w:rPr>
          <w:rFonts w:ascii="Arial" w:hAnsi="Arial"/>
          <w:sz w:val="24"/>
        </w:rPr>
        <w:t>O</w:t>
      </w:r>
      <w:r w:rsidR="00515DF5" w:rsidRPr="005E2D0B">
        <w:rPr>
          <w:rFonts w:ascii="Arial" w:hAnsi="Arial"/>
          <w:sz w:val="24"/>
        </w:rPr>
        <w:t xml:space="preserve">ferta nr </w:t>
      </w:r>
      <w:r w:rsidR="00A12FF1" w:rsidRPr="005E2D0B">
        <w:rPr>
          <w:rFonts w:ascii="Arial" w:hAnsi="Arial"/>
          <w:sz w:val="24"/>
        </w:rPr>
        <w:t>2</w:t>
      </w:r>
      <w:r w:rsidR="00515DF5" w:rsidRPr="005E2D0B">
        <w:rPr>
          <w:rFonts w:ascii="Arial" w:hAnsi="Arial"/>
          <w:sz w:val="24"/>
        </w:rPr>
        <w:t xml:space="preserve"> złożona przez </w:t>
      </w:r>
      <w:proofErr w:type="spellStart"/>
      <w:r w:rsidR="00A80842" w:rsidRPr="005E2D0B">
        <w:rPr>
          <w:rFonts w:ascii="Arial" w:hAnsi="Arial" w:cs="Arial"/>
          <w:sz w:val="24"/>
          <w:szCs w:val="24"/>
        </w:rPr>
        <w:t>UpHotel</w:t>
      </w:r>
      <w:proofErr w:type="spellEnd"/>
      <w:r w:rsidR="00A80842" w:rsidRPr="005E2D0B">
        <w:rPr>
          <w:rFonts w:ascii="Arial" w:hAnsi="Arial" w:cs="Arial"/>
          <w:sz w:val="24"/>
          <w:szCs w:val="24"/>
        </w:rPr>
        <w:t xml:space="preserve"> Sp. z o.o., ul</w:t>
      </w:r>
      <w:r w:rsidR="00E83B07" w:rsidRPr="005E2D0B">
        <w:rPr>
          <w:rFonts w:ascii="Arial" w:hAnsi="Arial" w:cs="Arial"/>
          <w:sz w:val="24"/>
          <w:szCs w:val="24"/>
        </w:rPr>
        <w:t>. </w:t>
      </w:r>
      <w:r w:rsidR="00A80842" w:rsidRPr="005E2D0B">
        <w:rPr>
          <w:rFonts w:ascii="Arial" w:hAnsi="Arial" w:cs="Arial"/>
          <w:sz w:val="24"/>
          <w:szCs w:val="24"/>
        </w:rPr>
        <w:t xml:space="preserve">Solna 4, 58-500 Jelenia Góra za kwotę </w:t>
      </w:r>
      <w:r w:rsidRPr="005E140C">
        <w:rPr>
          <w:rFonts w:ascii="Arial" w:hAnsi="Arial"/>
          <w:sz w:val="24"/>
        </w:rPr>
        <w:t>za kwotę</w:t>
      </w:r>
      <w:r>
        <w:rPr>
          <w:rFonts w:ascii="Arial" w:hAnsi="Arial"/>
          <w:sz w:val="24"/>
        </w:rPr>
        <w:t xml:space="preserve"> </w:t>
      </w:r>
      <w:r w:rsidRPr="005E140C">
        <w:rPr>
          <w:rFonts w:ascii="Arial" w:hAnsi="Arial" w:cs="Arial"/>
          <w:sz w:val="24"/>
          <w:szCs w:val="24"/>
        </w:rPr>
        <w:t>41 822,74 zł (słownie:  czterdzieści jeden tysięcy osiemset dwadzieścia dwa złote 74/100)</w:t>
      </w:r>
      <w:r>
        <w:rPr>
          <w:rFonts w:ascii="Arial" w:hAnsi="Arial" w:cs="Arial"/>
          <w:sz w:val="24"/>
          <w:szCs w:val="24"/>
        </w:rPr>
        <w:t xml:space="preserve"> </w:t>
      </w:r>
      <w:r w:rsidRPr="005E2D0B">
        <w:rPr>
          <w:rFonts w:ascii="Arial" w:hAnsi="Arial" w:cs="Arial"/>
          <w:sz w:val="24"/>
          <w:szCs w:val="24"/>
        </w:rPr>
        <w:t>jest jedyną ofertą podlegającą ocenie. Oferta spełnia warunki SWZ i jest zgodna z ustawą Prawo zamówień publicznych.</w:t>
      </w:r>
      <w:r w:rsidRPr="005E2D0B">
        <w:rPr>
          <w:rFonts w:ascii="Arial" w:hAnsi="Arial" w:cs="Arial"/>
          <w:iCs/>
          <w:kern w:val="36"/>
          <w:sz w:val="24"/>
          <w:szCs w:val="24"/>
        </w:rPr>
        <w:t xml:space="preserve"> W</w:t>
      </w:r>
      <w:r>
        <w:rPr>
          <w:rFonts w:ascii="Arial" w:hAnsi="Arial" w:cs="Arial"/>
          <w:iCs/>
          <w:kern w:val="36"/>
          <w:sz w:val="24"/>
          <w:szCs w:val="24"/>
        </w:rPr>
        <w:t> </w:t>
      </w:r>
      <w:r w:rsidRPr="005E2D0B">
        <w:rPr>
          <w:rFonts w:ascii="Arial" w:hAnsi="Arial" w:cs="Arial"/>
          <w:iCs/>
          <w:kern w:val="36"/>
          <w:sz w:val="24"/>
          <w:szCs w:val="24"/>
        </w:rPr>
        <w:t xml:space="preserve"> ocenie </w:t>
      </w:r>
      <w:r w:rsidRPr="005E2D0B">
        <w:rPr>
          <w:rFonts w:ascii="Arial" w:hAnsi="Arial" w:cs="Arial"/>
          <w:sz w:val="24"/>
          <w:szCs w:val="24"/>
        </w:rPr>
        <w:t xml:space="preserve">dokonanej na podstawie kryterium określonego w SWZ oferta uzyskała 100 punktów. </w:t>
      </w:r>
    </w:p>
    <w:p w14:paraId="4035FD7D" w14:textId="3C66C146" w:rsidR="008D1E7C" w:rsidRDefault="00A80842" w:rsidP="008D1E7C">
      <w:pPr>
        <w:spacing w:before="240" w:after="480" w:line="312" w:lineRule="auto"/>
        <w:ind w:left="5387"/>
        <w:rPr>
          <w:rFonts w:ascii="Arial" w:eastAsia="Calibri" w:hAnsi="Arial" w:cs="Times New Roman"/>
          <w:sz w:val="24"/>
        </w:rPr>
      </w:pPr>
      <w:r>
        <w:rPr>
          <w:rFonts w:ascii="Arial" w:eastAsia="Calibri" w:hAnsi="Arial" w:cs="Times New Roman"/>
          <w:sz w:val="24"/>
        </w:rPr>
        <w:t>Kamila Dudkiewicz</w:t>
      </w:r>
    </w:p>
    <w:p w14:paraId="724A758E" w14:textId="77777777" w:rsidR="008D1E7C" w:rsidRDefault="008D1E7C" w:rsidP="00BB561D">
      <w:pPr>
        <w:spacing w:before="120" w:after="120" w:line="312" w:lineRule="auto"/>
        <w:ind w:left="5387"/>
        <w:contextualSpacing/>
        <w:rPr>
          <w:rFonts w:ascii="Arial" w:eastAsia="Calibri" w:hAnsi="Arial" w:cs="Times New Roman"/>
          <w:sz w:val="24"/>
        </w:rPr>
      </w:pPr>
      <w:r>
        <w:rPr>
          <w:rFonts w:ascii="Arial" w:eastAsia="Calibri" w:hAnsi="Arial" w:cs="Times New Roman"/>
          <w:sz w:val="24"/>
        </w:rPr>
        <w:t xml:space="preserve">Zastępca Dyrektora </w:t>
      </w:r>
    </w:p>
    <w:p w14:paraId="2D8CBDED" w14:textId="77777777" w:rsidR="008D1E7C" w:rsidRDefault="008D1E7C" w:rsidP="00BB561D">
      <w:pPr>
        <w:spacing w:before="120" w:after="120" w:line="312" w:lineRule="auto"/>
        <w:ind w:left="5387"/>
        <w:contextualSpacing/>
        <w:rPr>
          <w:rFonts w:ascii="Arial" w:eastAsia="Calibri" w:hAnsi="Arial" w:cs="Times New Roman"/>
          <w:sz w:val="24"/>
        </w:rPr>
      </w:pPr>
      <w:r>
        <w:rPr>
          <w:rFonts w:ascii="Arial" w:eastAsia="Calibri" w:hAnsi="Arial" w:cs="Times New Roman"/>
          <w:sz w:val="24"/>
        </w:rPr>
        <w:t xml:space="preserve">Regionalnego Centrum </w:t>
      </w:r>
    </w:p>
    <w:p w14:paraId="0B5EF1F6" w14:textId="77777777" w:rsidR="008D1E7C" w:rsidRDefault="008D1E7C" w:rsidP="00BB561D">
      <w:pPr>
        <w:spacing w:before="120" w:after="120" w:line="312" w:lineRule="auto"/>
        <w:ind w:left="5387"/>
        <w:contextualSpacing/>
        <w:rPr>
          <w:rFonts w:ascii="Arial" w:eastAsia="Calibri" w:hAnsi="Arial" w:cs="Times New Roman"/>
          <w:sz w:val="24"/>
        </w:rPr>
      </w:pPr>
      <w:r>
        <w:rPr>
          <w:rFonts w:ascii="Arial" w:eastAsia="Calibri" w:hAnsi="Arial" w:cs="Times New Roman"/>
          <w:sz w:val="24"/>
        </w:rPr>
        <w:t>Polityki Społecznej w Łodzi</w:t>
      </w:r>
    </w:p>
    <w:sectPr w:rsidR="008D1E7C" w:rsidSect="00774C8C">
      <w:headerReference w:type="default" r:id="rId7"/>
      <w:footerReference w:type="default" r:id="rId8"/>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F61CA" w14:textId="77777777" w:rsidR="00774C8C" w:rsidRDefault="00774C8C" w:rsidP="0027578B">
      <w:pPr>
        <w:spacing w:after="0" w:line="240" w:lineRule="auto"/>
      </w:pPr>
      <w:r>
        <w:separator/>
      </w:r>
    </w:p>
  </w:endnote>
  <w:endnote w:type="continuationSeparator" w:id="0">
    <w:p w14:paraId="7CFEBF1F" w14:textId="77777777" w:rsidR="00774C8C" w:rsidRDefault="00774C8C" w:rsidP="0027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FFA5A" w14:textId="33F43FB9" w:rsidR="0027578B" w:rsidRDefault="0027578B">
    <w:pPr>
      <w:pStyle w:val="Stopka"/>
    </w:pPr>
    <w:r>
      <w:rPr>
        <w:noProof/>
        <w:lang w:eastAsia="pl-PL"/>
      </w:rPr>
      <w:drawing>
        <wp:anchor distT="0" distB="0" distL="114300" distR="114300" simplePos="0" relativeHeight="251659264" behindDoc="1" locked="0" layoutInCell="1" allowOverlap="1" wp14:anchorId="3C3D6F27" wp14:editId="6DFDD54C">
          <wp:simplePos x="0" y="0"/>
          <wp:positionH relativeFrom="column">
            <wp:posOffset>4945712</wp:posOffset>
          </wp:positionH>
          <wp:positionV relativeFrom="paragraph">
            <wp:posOffset>-31778</wp:posOffset>
          </wp:positionV>
          <wp:extent cx="875665" cy="431800"/>
          <wp:effectExtent l="0" t="0" r="0" b="0"/>
          <wp:wrapTight wrapText="bothSides">
            <wp:wrapPolygon edited="0">
              <wp:start x="17387" y="0"/>
              <wp:lineTo x="2819" y="3812"/>
              <wp:lineTo x="940" y="4765"/>
              <wp:lineTo x="1410" y="16200"/>
              <wp:lineTo x="2350" y="20012"/>
              <wp:lineTo x="18796" y="20012"/>
              <wp:lineTo x="18796" y="16200"/>
              <wp:lineTo x="20676" y="2859"/>
              <wp:lineTo x="20206" y="0"/>
              <wp:lineTo x="17387" y="0"/>
            </wp:wrapPolygon>
          </wp:wrapTight>
          <wp:docPr id="2049809554" name="Obraz 2049809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5665" cy="4318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D3253" w14:textId="77777777" w:rsidR="00774C8C" w:rsidRDefault="00774C8C" w:rsidP="0027578B">
      <w:pPr>
        <w:spacing w:after="0" w:line="240" w:lineRule="auto"/>
      </w:pPr>
      <w:r>
        <w:separator/>
      </w:r>
    </w:p>
  </w:footnote>
  <w:footnote w:type="continuationSeparator" w:id="0">
    <w:p w14:paraId="358E4786" w14:textId="77777777" w:rsidR="00774C8C" w:rsidRDefault="00774C8C" w:rsidP="00275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F4BEB" w14:textId="647FD176" w:rsidR="0027578B" w:rsidRDefault="0027578B">
    <w:pPr>
      <w:pStyle w:val="Nagwek"/>
    </w:pPr>
    <w:r>
      <w:rPr>
        <w:noProof/>
        <w:lang w:eastAsia="pl-PL"/>
      </w:rPr>
      <w:drawing>
        <wp:inline distT="0" distB="0" distL="0" distR="0" wp14:anchorId="1693976E" wp14:editId="3C0A2DD1">
          <wp:extent cx="4322363" cy="1115986"/>
          <wp:effectExtent l="0" t="0" r="2540" b="8255"/>
          <wp:docPr id="936703061" name="Obraz 93670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4422246" cy="11417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D371A"/>
    <w:multiLevelType w:val="hybridMultilevel"/>
    <w:tmpl w:val="39F82FF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37807F0"/>
    <w:multiLevelType w:val="hybridMultilevel"/>
    <w:tmpl w:val="39F82F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8911E14"/>
    <w:multiLevelType w:val="hybridMultilevel"/>
    <w:tmpl w:val="34C265F0"/>
    <w:lvl w:ilvl="0" w:tplc="E182DB06">
      <w:start w:val="1"/>
      <w:numFmt w:val="decimal"/>
      <w:lvlText w:val="%1."/>
      <w:lvlJc w:val="left"/>
      <w:pPr>
        <w:ind w:left="720"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8A093E"/>
    <w:multiLevelType w:val="hybridMultilevel"/>
    <w:tmpl w:val="A6DCC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4C72A3"/>
    <w:multiLevelType w:val="hybridMultilevel"/>
    <w:tmpl w:val="1A987B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9056A6"/>
    <w:multiLevelType w:val="hybridMultilevel"/>
    <w:tmpl w:val="61B0205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4AA13A6D"/>
    <w:multiLevelType w:val="hybridMultilevel"/>
    <w:tmpl w:val="40E28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8D2BD4"/>
    <w:multiLevelType w:val="hybridMultilevel"/>
    <w:tmpl w:val="48EC098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521A67A0"/>
    <w:multiLevelType w:val="hybridMultilevel"/>
    <w:tmpl w:val="E736C270"/>
    <w:lvl w:ilvl="0" w:tplc="589A78EE">
      <w:start w:val="1"/>
      <w:numFmt w:val="decimal"/>
      <w:lvlText w:val="%1."/>
      <w:lvlJc w:val="left"/>
      <w:pPr>
        <w:ind w:left="360" w:hanging="360"/>
      </w:pPr>
      <w:rPr>
        <w:b w:val="0"/>
      </w:rPr>
    </w:lvl>
    <w:lvl w:ilvl="1" w:tplc="5D40CB24">
      <w:start w:val="1"/>
      <w:numFmt w:val="decimal"/>
      <w:lvlText w:val="%2)"/>
      <w:lvlJc w:val="left"/>
      <w:pPr>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55F14891"/>
    <w:multiLevelType w:val="hybridMultilevel"/>
    <w:tmpl w:val="8A0448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63B455C"/>
    <w:multiLevelType w:val="hybridMultilevel"/>
    <w:tmpl w:val="A79CA5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3D75ED6"/>
    <w:multiLevelType w:val="hybridMultilevel"/>
    <w:tmpl w:val="C1265C10"/>
    <w:lvl w:ilvl="0" w:tplc="BB9CEE0E">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745E19FB"/>
    <w:multiLevelType w:val="hybridMultilevel"/>
    <w:tmpl w:val="CD12CCF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772A6029"/>
    <w:multiLevelType w:val="hybridMultilevel"/>
    <w:tmpl w:val="800854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ED17945"/>
    <w:multiLevelType w:val="hybridMultilevel"/>
    <w:tmpl w:val="637C20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3801184">
    <w:abstractNumId w:val="3"/>
  </w:num>
  <w:num w:numId="2" w16cid:durableId="911744466">
    <w:abstractNumId w:val="4"/>
  </w:num>
  <w:num w:numId="3" w16cid:durableId="2118136687">
    <w:abstractNumId w:val="10"/>
  </w:num>
  <w:num w:numId="4" w16cid:durableId="526911787">
    <w:abstractNumId w:val="6"/>
  </w:num>
  <w:num w:numId="5" w16cid:durableId="601109636">
    <w:abstractNumId w:val="12"/>
  </w:num>
  <w:num w:numId="6" w16cid:durableId="2097822591">
    <w:abstractNumId w:val="13"/>
  </w:num>
  <w:num w:numId="7" w16cid:durableId="1292589276">
    <w:abstractNumId w:val="5"/>
  </w:num>
  <w:num w:numId="8" w16cid:durableId="1679455395">
    <w:abstractNumId w:val="2"/>
  </w:num>
  <w:num w:numId="9" w16cid:durableId="2130123390">
    <w:abstractNumId w:val="14"/>
  </w:num>
  <w:num w:numId="10" w16cid:durableId="525676523">
    <w:abstractNumId w:val="1"/>
  </w:num>
  <w:num w:numId="11" w16cid:durableId="734350650">
    <w:abstractNumId w:val="7"/>
  </w:num>
  <w:num w:numId="12" w16cid:durableId="699205938">
    <w:abstractNumId w:val="0"/>
  </w:num>
  <w:num w:numId="13" w16cid:durableId="502209556">
    <w:abstractNumId w:val="9"/>
  </w:num>
  <w:num w:numId="14" w16cid:durableId="140556910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74647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A60"/>
    <w:rsid w:val="000221EA"/>
    <w:rsid w:val="00056DCB"/>
    <w:rsid w:val="00066015"/>
    <w:rsid w:val="00082C54"/>
    <w:rsid w:val="00097A23"/>
    <w:rsid w:val="000A4777"/>
    <w:rsid w:val="000A517F"/>
    <w:rsid w:val="000A63DE"/>
    <w:rsid w:val="000C6E91"/>
    <w:rsid w:val="000E23C8"/>
    <w:rsid w:val="000F7B60"/>
    <w:rsid w:val="00160550"/>
    <w:rsid w:val="00175824"/>
    <w:rsid w:val="0018429C"/>
    <w:rsid w:val="00197435"/>
    <w:rsid w:val="001E0CB1"/>
    <w:rsid w:val="002071B5"/>
    <w:rsid w:val="00214E5A"/>
    <w:rsid w:val="002225C0"/>
    <w:rsid w:val="002364FE"/>
    <w:rsid w:val="0024229C"/>
    <w:rsid w:val="002566B7"/>
    <w:rsid w:val="0027578B"/>
    <w:rsid w:val="0027662D"/>
    <w:rsid w:val="002C7679"/>
    <w:rsid w:val="002D0EA0"/>
    <w:rsid w:val="002D3FCA"/>
    <w:rsid w:val="002E3D67"/>
    <w:rsid w:val="002E695F"/>
    <w:rsid w:val="00312E9D"/>
    <w:rsid w:val="003152CB"/>
    <w:rsid w:val="003339C7"/>
    <w:rsid w:val="003531F7"/>
    <w:rsid w:val="00385CD6"/>
    <w:rsid w:val="00386016"/>
    <w:rsid w:val="003940DB"/>
    <w:rsid w:val="003947A7"/>
    <w:rsid w:val="0039619E"/>
    <w:rsid w:val="003E51D5"/>
    <w:rsid w:val="004136D4"/>
    <w:rsid w:val="00437370"/>
    <w:rsid w:val="00445854"/>
    <w:rsid w:val="0047590A"/>
    <w:rsid w:val="00492FE5"/>
    <w:rsid w:val="00493A34"/>
    <w:rsid w:val="0049612D"/>
    <w:rsid w:val="004A1F63"/>
    <w:rsid w:val="004B5963"/>
    <w:rsid w:val="004E0AE9"/>
    <w:rsid w:val="004E0DE8"/>
    <w:rsid w:val="00515DF5"/>
    <w:rsid w:val="00550D57"/>
    <w:rsid w:val="005B3189"/>
    <w:rsid w:val="005B3CE3"/>
    <w:rsid w:val="005C1F5D"/>
    <w:rsid w:val="005C7E06"/>
    <w:rsid w:val="005D4968"/>
    <w:rsid w:val="005E140C"/>
    <w:rsid w:val="005E2D0B"/>
    <w:rsid w:val="006124E8"/>
    <w:rsid w:val="00624848"/>
    <w:rsid w:val="00625F4B"/>
    <w:rsid w:val="00630098"/>
    <w:rsid w:val="006308B2"/>
    <w:rsid w:val="00685A7A"/>
    <w:rsid w:val="006911CC"/>
    <w:rsid w:val="006A1958"/>
    <w:rsid w:val="006C3ED9"/>
    <w:rsid w:val="006D10D1"/>
    <w:rsid w:val="006E574C"/>
    <w:rsid w:val="00702258"/>
    <w:rsid w:val="00711BA8"/>
    <w:rsid w:val="00725C94"/>
    <w:rsid w:val="0074007E"/>
    <w:rsid w:val="00745EB3"/>
    <w:rsid w:val="00774C8C"/>
    <w:rsid w:val="007775C8"/>
    <w:rsid w:val="007B21D8"/>
    <w:rsid w:val="00804CEB"/>
    <w:rsid w:val="008111C5"/>
    <w:rsid w:val="00825C93"/>
    <w:rsid w:val="00826039"/>
    <w:rsid w:val="00835516"/>
    <w:rsid w:val="00892D4E"/>
    <w:rsid w:val="00897B5D"/>
    <w:rsid w:val="008A7B5D"/>
    <w:rsid w:val="008D1E7C"/>
    <w:rsid w:val="008E6B16"/>
    <w:rsid w:val="00923851"/>
    <w:rsid w:val="00925194"/>
    <w:rsid w:val="0092710F"/>
    <w:rsid w:val="00953386"/>
    <w:rsid w:val="00977DCD"/>
    <w:rsid w:val="009873FF"/>
    <w:rsid w:val="00A12FF1"/>
    <w:rsid w:val="00A20A60"/>
    <w:rsid w:val="00A410D7"/>
    <w:rsid w:val="00A80842"/>
    <w:rsid w:val="00A95BB2"/>
    <w:rsid w:val="00AD380E"/>
    <w:rsid w:val="00AF5C9A"/>
    <w:rsid w:val="00B11FCB"/>
    <w:rsid w:val="00B13E47"/>
    <w:rsid w:val="00B45D8B"/>
    <w:rsid w:val="00BA69CC"/>
    <w:rsid w:val="00BB37EE"/>
    <w:rsid w:val="00BB561D"/>
    <w:rsid w:val="00C018C7"/>
    <w:rsid w:val="00C27BD2"/>
    <w:rsid w:val="00C64271"/>
    <w:rsid w:val="00C77FE8"/>
    <w:rsid w:val="00C94211"/>
    <w:rsid w:val="00CA2E1A"/>
    <w:rsid w:val="00CB168B"/>
    <w:rsid w:val="00CD6231"/>
    <w:rsid w:val="00D10764"/>
    <w:rsid w:val="00D405F8"/>
    <w:rsid w:val="00D518CD"/>
    <w:rsid w:val="00D51946"/>
    <w:rsid w:val="00D73ED1"/>
    <w:rsid w:val="00D76055"/>
    <w:rsid w:val="00DE0DF2"/>
    <w:rsid w:val="00DE281E"/>
    <w:rsid w:val="00DF2E6A"/>
    <w:rsid w:val="00E03B82"/>
    <w:rsid w:val="00E0656E"/>
    <w:rsid w:val="00E11B64"/>
    <w:rsid w:val="00E36A7C"/>
    <w:rsid w:val="00E51C91"/>
    <w:rsid w:val="00E5306F"/>
    <w:rsid w:val="00E83B07"/>
    <w:rsid w:val="00E9480D"/>
    <w:rsid w:val="00E97D1F"/>
    <w:rsid w:val="00EA44B3"/>
    <w:rsid w:val="00EB5694"/>
    <w:rsid w:val="00F01197"/>
    <w:rsid w:val="00F13614"/>
    <w:rsid w:val="00F16B44"/>
    <w:rsid w:val="00F16D76"/>
    <w:rsid w:val="00F2426B"/>
    <w:rsid w:val="00F30DE6"/>
    <w:rsid w:val="00F35898"/>
    <w:rsid w:val="00F435A8"/>
    <w:rsid w:val="00F86825"/>
    <w:rsid w:val="00F86946"/>
    <w:rsid w:val="00FB348B"/>
    <w:rsid w:val="00FD6D8A"/>
    <w:rsid w:val="00FE7E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15AA2"/>
  <w15:chartTrackingRefBased/>
  <w15:docId w15:val="{9A6A654B-89C6-470D-9787-1F475785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01197"/>
    <w:pPr>
      <w:keepNext/>
      <w:keepLines/>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1197"/>
    <w:rPr>
      <w:rFonts w:ascii="Arial" w:eastAsiaTheme="majorEastAsia" w:hAnsi="Arial" w:cstheme="majorBidi"/>
      <w:b/>
      <w:sz w:val="24"/>
      <w:szCs w:val="32"/>
    </w:rPr>
  </w:style>
  <w:style w:type="paragraph" w:styleId="Nagwek">
    <w:name w:val="header"/>
    <w:basedOn w:val="Normalny"/>
    <w:link w:val="NagwekZnak"/>
    <w:uiPriority w:val="99"/>
    <w:unhideWhenUsed/>
    <w:rsid w:val="00275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578B"/>
  </w:style>
  <w:style w:type="paragraph" w:styleId="Stopka">
    <w:name w:val="footer"/>
    <w:basedOn w:val="Normalny"/>
    <w:link w:val="StopkaZnak"/>
    <w:uiPriority w:val="99"/>
    <w:unhideWhenUsed/>
    <w:rsid w:val="00275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578B"/>
  </w:style>
  <w:style w:type="paragraph" w:styleId="Akapitzlist">
    <w:name w:val="List Paragraph"/>
    <w:aliases w:val="maz_wyliczenie,opis dzialania,K-P_odwolanie,A_wyliczenie,Akapit z listą 1,L1,Numerowanie,List Paragraph,CW_Lista"/>
    <w:basedOn w:val="Normalny"/>
    <w:link w:val="AkapitzlistZnak"/>
    <w:qFormat/>
    <w:rsid w:val="00F2426B"/>
    <w:pPr>
      <w:ind w:left="720"/>
      <w:contextualSpacing/>
    </w:pPr>
  </w:style>
  <w:style w:type="character" w:customStyle="1" w:styleId="AkapitzlistZnak">
    <w:name w:val="Akapit z listą Znak"/>
    <w:aliases w:val="maz_wyliczenie Znak,opis dzialania Znak,K-P_odwolanie Znak,A_wyliczenie Znak,Akapit z listą 1 Znak,L1 Znak,Numerowanie Znak,List Paragraph Znak,CW_Lista Znak"/>
    <w:link w:val="Akapitzlist"/>
    <w:uiPriority w:val="34"/>
    <w:qFormat/>
    <w:locked/>
    <w:rsid w:val="006124E8"/>
  </w:style>
  <w:style w:type="paragraph" w:customStyle="1" w:styleId="msonormalcxspdrugie">
    <w:name w:val="msonormalcxspdrugie"/>
    <w:basedOn w:val="Normalny"/>
    <w:rsid w:val="006124E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NormalnyWeb">
    <w:name w:val="Normal (Web)"/>
    <w:basedOn w:val="Normalny"/>
    <w:uiPriority w:val="99"/>
    <w:semiHidden/>
    <w:unhideWhenUsed/>
    <w:rsid w:val="006C3ED9"/>
    <w:rPr>
      <w:rFonts w:ascii="Times New Roman" w:hAnsi="Times New Roman" w:cs="Times New Roman"/>
      <w:sz w:val="24"/>
      <w:szCs w:val="24"/>
    </w:rPr>
  </w:style>
  <w:style w:type="paragraph" w:styleId="Tytu">
    <w:name w:val="Title"/>
    <w:basedOn w:val="Normalny"/>
    <w:next w:val="Normalny"/>
    <w:link w:val="TytuZnak"/>
    <w:uiPriority w:val="10"/>
    <w:qFormat/>
    <w:rsid w:val="00E83B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83B0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389535">
      <w:bodyDiv w:val="1"/>
      <w:marLeft w:val="0"/>
      <w:marRight w:val="0"/>
      <w:marTop w:val="0"/>
      <w:marBottom w:val="0"/>
      <w:divBdr>
        <w:top w:val="none" w:sz="0" w:space="0" w:color="auto"/>
        <w:left w:val="none" w:sz="0" w:space="0" w:color="auto"/>
        <w:bottom w:val="none" w:sz="0" w:space="0" w:color="auto"/>
        <w:right w:val="none" w:sz="0" w:space="0" w:color="auto"/>
      </w:divBdr>
      <w:divsChild>
        <w:div w:id="1706059691">
          <w:marLeft w:val="0"/>
          <w:marRight w:val="0"/>
          <w:marTop w:val="0"/>
          <w:marBottom w:val="0"/>
          <w:divBdr>
            <w:top w:val="none" w:sz="0" w:space="0" w:color="auto"/>
            <w:left w:val="none" w:sz="0" w:space="0" w:color="auto"/>
            <w:bottom w:val="none" w:sz="0" w:space="0" w:color="auto"/>
            <w:right w:val="none" w:sz="0" w:space="0" w:color="auto"/>
          </w:divBdr>
        </w:div>
      </w:divsChild>
    </w:div>
    <w:div w:id="1022897607">
      <w:bodyDiv w:val="1"/>
      <w:marLeft w:val="0"/>
      <w:marRight w:val="0"/>
      <w:marTop w:val="0"/>
      <w:marBottom w:val="0"/>
      <w:divBdr>
        <w:top w:val="none" w:sz="0" w:space="0" w:color="auto"/>
        <w:left w:val="none" w:sz="0" w:space="0" w:color="auto"/>
        <w:bottom w:val="none" w:sz="0" w:space="0" w:color="auto"/>
        <w:right w:val="none" w:sz="0" w:space="0" w:color="auto"/>
      </w:divBdr>
    </w:div>
    <w:div w:id="1288272032">
      <w:bodyDiv w:val="1"/>
      <w:marLeft w:val="0"/>
      <w:marRight w:val="0"/>
      <w:marTop w:val="0"/>
      <w:marBottom w:val="0"/>
      <w:divBdr>
        <w:top w:val="none" w:sz="0" w:space="0" w:color="auto"/>
        <w:left w:val="none" w:sz="0" w:space="0" w:color="auto"/>
        <w:bottom w:val="none" w:sz="0" w:space="0" w:color="auto"/>
        <w:right w:val="none" w:sz="0" w:space="0" w:color="auto"/>
      </w:divBdr>
    </w:div>
    <w:div w:id="1378162239">
      <w:bodyDiv w:val="1"/>
      <w:marLeft w:val="0"/>
      <w:marRight w:val="0"/>
      <w:marTop w:val="0"/>
      <w:marBottom w:val="0"/>
      <w:divBdr>
        <w:top w:val="none" w:sz="0" w:space="0" w:color="auto"/>
        <w:left w:val="none" w:sz="0" w:space="0" w:color="auto"/>
        <w:bottom w:val="none" w:sz="0" w:space="0" w:color="auto"/>
        <w:right w:val="none" w:sz="0" w:space="0" w:color="auto"/>
      </w:divBdr>
      <w:divsChild>
        <w:div w:id="2096314734">
          <w:marLeft w:val="0"/>
          <w:marRight w:val="0"/>
          <w:marTop w:val="0"/>
          <w:marBottom w:val="0"/>
          <w:divBdr>
            <w:top w:val="none" w:sz="0" w:space="0" w:color="auto"/>
            <w:left w:val="none" w:sz="0" w:space="0" w:color="auto"/>
            <w:bottom w:val="none" w:sz="0" w:space="0" w:color="auto"/>
            <w:right w:val="none" w:sz="0" w:space="0" w:color="auto"/>
          </w:divBdr>
        </w:div>
      </w:divsChild>
    </w:div>
    <w:div w:id="1539276746">
      <w:bodyDiv w:val="1"/>
      <w:marLeft w:val="0"/>
      <w:marRight w:val="0"/>
      <w:marTop w:val="0"/>
      <w:marBottom w:val="0"/>
      <w:divBdr>
        <w:top w:val="none" w:sz="0" w:space="0" w:color="auto"/>
        <w:left w:val="none" w:sz="0" w:space="0" w:color="auto"/>
        <w:bottom w:val="none" w:sz="0" w:space="0" w:color="auto"/>
        <w:right w:val="none" w:sz="0" w:space="0" w:color="auto"/>
      </w:divBdr>
    </w:div>
    <w:div w:id="1654945595">
      <w:bodyDiv w:val="1"/>
      <w:marLeft w:val="0"/>
      <w:marRight w:val="0"/>
      <w:marTop w:val="0"/>
      <w:marBottom w:val="0"/>
      <w:divBdr>
        <w:top w:val="none" w:sz="0" w:space="0" w:color="auto"/>
        <w:left w:val="none" w:sz="0" w:space="0" w:color="auto"/>
        <w:bottom w:val="none" w:sz="0" w:space="0" w:color="auto"/>
        <w:right w:val="none" w:sz="0" w:space="0" w:color="auto"/>
      </w:divBdr>
      <w:divsChild>
        <w:div w:id="720250999">
          <w:marLeft w:val="0"/>
          <w:marRight w:val="0"/>
          <w:marTop w:val="0"/>
          <w:marBottom w:val="0"/>
          <w:divBdr>
            <w:top w:val="none" w:sz="0" w:space="0" w:color="auto"/>
            <w:left w:val="none" w:sz="0" w:space="0" w:color="auto"/>
            <w:bottom w:val="none" w:sz="0" w:space="0" w:color="auto"/>
            <w:right w:val="none" w:sz="0" w:space="0" w:color="auto"/>
          </w:divBdr>
          <w:divsChild>
            <w:div w:id="2333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5667">
      <w:bodyDiv w:val="1"/>
      <w:marLeft w:val="0"/>
      <w:marRight w:val="0"/>
      <w:marTop w:val="0"/>
      <w:marBottom w:val="0"/>
      <w:divBdr>
        <w:top w:val="none" w:sz="0" w:space="0" w:color="auto"/>
        <w:left w:val="none" w:sz="0" w:space="0" w:color="auto"/>
        <w:bottom w:val="none" w:sz="0" w:space="0" w:color="auto"/>
        <w:right w:val="none" w:sz="0" w:space="0" w:color="auto"/>
      </w:divBdr>
      <w:divsChild>
        <w:div w:id="1231696252">
          <w:marLeft w:val="0"/>
          <w:marRight w:val="0"/>
          <w:marTop w:val="0"/>
          <w:marBottom w:val="0"/>
          <w:divBdr>
            <w:top w:val="none" w:sz="0" w:space="0" w:color="auto"/>
            <w:left w:val="none" w:sz="0" w:space="0" w:color="auto"/>
            <w:bottom w:val="none" w:sz="0" w:space="0" w:color="auto"/>
            <w:right w:val="none" w:sz="0" w:space="0" w:color="auto"/>
          </w:divBdr>
        </w:div>
        <w:div w:id="1596208601">
          <w:marLeft w:val="0"/>
          <w:marRight w:val="0"/>
          <w:marTop w:val="0"/>
          <w:marBottom w:val="0"/>
          <w:divBdr>
            <w:top w:val="none" w:sz="0" w:space="0" w:color="auto"/>
            <w:left w:val="none" w:sz="0" w:space="0" w:color="auto"/>
            <w:bottom w:val="none" w:sz="0" w:space="0" w:color="auto"/>
            <w:right w:val="none" w:sz="0" w:space="0" w:color="auto"/>
          </w:divBdr>
          <w:divsChild>
            <w:div w:id="20489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3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7</Pages>
  <Words>2095</Words>
  <Characters>12570</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informacja o wyborze oferty częśc I</vt:lpstr>
    </vt:vector>
  </TitlesOfParts>
  <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wyborze oferty</dc:title>
  <dc:subject/>
  <dc:creator>RCPS Łódź</dc:creator>
  <cp:keywords/>
  <dc:description/>
  <cp:lastModifiedBy>RCPS Łódź</cp:lastModifiedBy>
  <cp:revision>78</cp:revision>
  <cp:lastPrinted>2024-11-27T08:36:00Z</cp:lastPrinted>
  <dcterms:created xsi:type="dcterms:W3CDTF">2024-02-07T12:31:00Z</dcterms:created>
  <dcterms:modified xsi:type="dcterms:W3CDTF">2024-11-27T14:16:00Z</dcterms:modified>
</cp:coreProperties>
</file>