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E56076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3B3DE9" w:rsidRPr="003B3DE9" w:rsidRDefault="00912A2B" w:rsidP="00F569D8">
      <w:pPr>
        <w:pStyle w:val="Standard"/>
        <w:suppressAutoHyphens w:val="0"/>
        <w:autoSpaceDE w:val="0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ZA.271.</w:t>
      </w:r>
      <w:r w:rsidR="00F569D8">
        <w:rPr>
          <w:rFonts w:ascii="Calibri" w:hAnsi="Calibri" w:cs="Calibri"/>
          <w:b/>
          <w:sz w:val="22"/>
          <w:szCs w:val="22"/>
          <w:lang w:eastAsia="pl-PL"/>
        </w:rPr>
        <w:t>109</w:t>
      </w:r>
      <w:r>
        <w:rPr>
          <w:rFonts w:ascii="Calibri" w:hAnsi="Calibri" w:cs="Calibri"/>
          <w:b/>
          <w:sz w:val="22"/>
          <w:szCs w:val="22"/>
          <w:lang w:eastAsia="pl-PL"/>
        </w:rPr>
        <w:t>.20</w:t>
      </w:r>
      <w:r w:rsidR="0063366A">
        <w:rPr>
          <w:rFonts w:ascii="Calibri" w:hAnsi="Calibri" w:cs="Calibri"/>
          <w:b/>
          <w:sz w:val="22"/>
          <w:szCs w:val="22"/>
          <w:lang w:eastAsia="pl-PL"/>
        </w:rPr>
        <w:t>2</w:t>
      </w:r>
      <w:r w:rsidR="003B3DE9">
        <w:rPr>
          <w:rFonts w:ascii="Calibri" w:hAnsi="Calibri" w:cs="Calibri"/>
          <w:b/>
          <w:sz w:val="22"/>
          <w:szCs w:val="22"/>
          <w:lang w:eastAsia="pl-PL"/>
        </w:rPr>
        <w:t>3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: </w:t>
      </w:r>
    </w:p>
    <w:p w:rsidR="00F569D8" w:rsidRPr="00F569D8" w:rsidRDefault="00F569D8" w:rsidP="00F569D8">
      <w:pPr>
        <w:widowControl/>
        <w:tabs>
          <w:tab w:val="center" w:pos="4536"/>
          <w:tab w:val="right" w:pos="9072"/>
        </w:tabs>
        <w:suppressAutoHyphens w:val="0"/>
        <w:autoSpaceDN/>
        <w:spacing w:line="276" w:lineRule="auto"/>
        <w:jc w:val="both"/>
        <w:textAlignment w:val="auto"/>
        <w:rPr>
          <w:rFonts w:ascii="Calibri" w:eastAsia="Times New Roman" w:hAnsi="Calibri" w:cs="Times New Roman"/>
          <w:b/>
          <w:kern w:val="0"/>
          <w:sz w:val="22"/>
          <w:szCs w:val="22"/>
          <w:lang w:val="x-none" w:eastAsia="pl-PL" w:bidi="ar-SA"/>
        </w:rPr>
      </w:pPr>
      <w:r w:rsidRPr="00F569D8">
        <w:rPr>
          <w:rFonts w:ascii="Calibri" w:eastAsia="Times New Roman" w:hAnsi="Calibri" w:cs="Calibri"/>
          <w:b/>
          <w:kern w:val="0"/>
          <w:sz w:val="22"/>
          <w:szCs w:val="22"/>
          <w:lang w:val="x-none" w:eastAsia="pl-PL" w:bidi="ar-SA"/>
        </w:rPr>
        <w:t>Sporządzenie operatów szacunkowych określających wartość nieruchomości (gruntu, części składowych oraz istniejących ograniczonych praw rzeczowych) położonych na terenie powiatu nowotarskiego w celu ustalenia odszkodowania za nieruchomości, które stały się własnością odpowiednich jednostek samorządu terytorialnego na mocy ostatecznych decyzji o zezwoleniu na realizację inwestycji drogowych, ostatecznych decyzji wydanych w trybie art. 73 ustawy Przepisy wprowadzające ustawy reformujące administrację publiczną oraz decyzji właściwych organów jednostek samorządu terytorialnego zatwierdzających podział w trybie art. 98 ustawy o</w:t>
      </w:r>
      <w:r w:rsidRPr="00F569D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 </w:t>
      </w:r>
      <w:r w:rsidRPr="00F569D8">
        <w:rPr>
          <w:rFonts w:ascii="Calibri" w:eastAsia="Times New Roman" w:hAnsi="Calibri" w:cs="Calibri"/>
          <w:b/>
          <w:kern w:val="0"/>
          <w:sz w:val="22"/>
          <w:szCs w:val="22"/>
          <w:lang w:val="x-none" w:eastAsia="pl-PL" w:bidi="ar-SA"/>
        </w:rPr>
        <w:t>gospodarce nieruchomościami.</w:t>
      </w:r>
    </w:p>
    <w:p w:rsidR="00F569D8" w:rsidRPr="00F569D8" w:rsidRDefault="00F569D8" w:rsidP="00F569D8">
      <w:pPr>
        <w:widowControl/>
        <w:autoSpaceDN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Cena jednostkowa dotyczy operatu szacunkowego wyceny nieruchomości (jedna księga wieczysta lub jednolite władanie) obejmującej działki położone w jednym kompleksie, dla następujących przypadków:</w:t>
      </w:r>
    </w:p>
    <w:p w:rsidR="00F569D8" w:rsidRPr="00F569D8" w:rsidRDefault="00F569D8" w:rsidP="00F569D8">
      <w:pPr>
        <w:widowControl/>
        <w:numPr>
          <w:ilvl w:val="1"/>
          <w:numId w:val="12"/>
        </w:numPr>
        <w:suppressAutoHyphens w:val="0"/>
        <w:autoSpaceDE w:val="0"/>
        <w:autoSpaceDN/>
        <w:adjustRightInd w:val="0"/>
        <w:spacing w:line="276" w:lineRule="auto"/>
        <w:ind w:left="426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grunt niezabudowany bez ograniczonych praw rzeczowych,</w:t>
      </w:r>
    </w:p>
    <w:p w:rsidR="00F569D8" w:rsidRPr="00F569D8" w:rsidRDefault="00F569D8" w:rsidP="00F569D8">
      <w:pPr>
        <w:widowControl/>
        <w:numPr>
          <w:ilvl w:val="1"/>
          <w:numId w:val="12"/>
        </w:numPr>
        <w:suppressAutoHyphens w:val="0"/>
        <w:autoSpaceDE w:val="0"/>
        <w:autoSpaceDN/>
        <w:adjustRightInd w:val="0"/>
        <w:spacing w:line="276" w:lineRule="auto"/>
        <w:ind w:left="426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grunt niezabudowany z ograniczonymi prawami rzeczowymi,</w:t>
      </w:r>
    </w:p>
    <w:p w:rsidR="00F569D8" w:rsidRPr="00F569D8" w:rsidRDefault="00F569D8" w:rsidP="00F569D8">
      <w:pPr>
        <w:widowControl/>
        <w:numPr>
          <w:ilvl w:val="1"/>
          <w:numId w:val="12"/>
        </w:numPr>
        <w:suppressAutoHyphens w:val="0"/>
        <w:autoSpaceDE w:val="0"/>
        <w:autoSpaceDN/>
        <w:adjustRightInd w:val="0"/>
        <w:spacing w:line="276" w:lineRule="auto"/>
        <w:ind w:left="426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grunt z częściami składowymi bez ograniczonych praw rzeczowych,</w:t>
      </w:r>
    </w:p>
    <w:p w:rsidR="00F569D8" w:rsidRPr="00F569D8" w:rsidRDefault="00F569D8" w:rsidP="00F569D8">
      <w:pPr>
        <w:widowControl/>
        <w:numPr>
          <w:ilvl w:val="1"/>
          <w:numId w:val="12"/>
        </w:numPr>
        <w:suppressAutoHyphens w:val="0"/>
        <w:autoSpaceDE w:val="0"/>
        <w:autoSpaceDN/>
        <w:adjustRightInd w:val="0"/>
        <w:spacing w:line="276" w:lineRule="auto"/>
        <w:ind w:left="426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grunt z częściami składowymi z ograniczonymi prawami rzeczowymi.</w:t>
      </w:r>
    </w:p>
    <w:p w:rsidR="00F569D8" w:rsidRPr="00F569D8" w:rsidRDefault="00F569D8" w:rsidP="00F569D8">
      <w:pPr>
        <w:widowControl/>
        <w:numPr>
          <w:ilvl w:val="0"/>
          <w:numId w:val="16"/>
        </w:numPr>
        <w:suppressAutoHyphens w:val="0"/>
        <w:autoSpaceDE w:val="0"/>
        <w:autoSpaceDN/>
        <w:adjustRightInd w:val="0"/>
        <w:spacing w:line="276" w:lineRule="auto"/>
        <w:ind w:left="426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Operaty szacunkowe muszą być wykonane zgodnie z: </w:t>
      </w:r>
    </w:p>
    <w:p w:rsidR="00F569D8" w:rsidRPr="00F569D8" w:rsidRDefault="00F569D8" w:rsidP="00F569D8">
      <w:pPr>
        <w:widowControl/>
        <w:numPr>
          <w:ilvl w:val="0"/>
          <w:numId w:val="13"/>
        </w:numPr>
        <w:suppressAutoHyphens w:val="0"/>
        <w:autoSpaceDE w:val="0"/>
        <w:autoSpaceDN/>
        <w:adjustRightInd w:val="0"/>
        <w:spacing w:line="276" w:lineRule="auto"/>
        <w:ind w:left="426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ustawą z dnia 21 sierpnia 1997 r. o gospodarce nieruchomościami (Dz.U. z 2021 r. poz. 1899,                z </w:t>
      </w:r>
      <w:proofErr w:type="spellStart"/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późn</w:t>
      </w:r>
      <w:proofErr w:type="spellEnd"/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. zm.); </w:t>
      </w:r>
    </w:p>
    <w:p w:rsidR="00F569D8" w:rsidRPr="00F569D8" w:rsidRDefault="00F569D8" w:rsidP="00F569D8">
      <w:pPr>
        <w:widowControl/>
        <w:numPr>
          <w:ilvl w:val="0"/>
          <w:numId w:val="13"/>
        </w:numPr>
        <w:suppressAutoHyphens w:val="0"/>
        <w:autoSpaceDE w:val="0"/>
        <w:autoSpaceDN/>
        <w:adjustRightInd w:val="0"/>
        <w:spacing w:line="276" w:lineRule="auto"/>
        <w:ind w:left="426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rozporządzeniem Rady Ministrów z dnia 21 września 2004 r. w sprawie wyceny nieruchomości</w:t>
      </w: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br/>
        <w:t xml:space="preserve">i sporządzania operatu szacunkowego (Dz.U. z 2021 r., poz. 555); </w:t>
      </w:r>
    </w:p>
    <w:p w:rsidR="00F569D8" w:rsidRPr="00F569D8" w:rsidRDefault="00F569D8" w:rsidP="00F569D8">
      <w:pPr>
        <w:widowControl/>
        <w:numPr>
          <w:ilvl w:val="0"/>
          <w:numId w:val="13"/>
        </w:numPr>
        <w:suppressAutoHyphens w:val="0"/>
        <w:autoSpaceDE w:val="0"/>
        <w:autoSpaceDN/>
        <w:adjustRightInd w:val="0"/>
        <w:spacing w:line="276" w:lineRule="auto"/>
        <w:ind w:left="426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Standardami Zawodowymi Polskiej Federacji Stowarzyszeń Rzeczoznawców Majątkowych; </w:t>
      </w:r>
    </w:p>
    <w:p w:rsidR="00F569D8" w:rsidRPr="00F569D8" w:rsidRDefault="00F569D8" w:rsidP="00F569D8">
      <w:pPr>
        <w:widowControl/>
        <w:numPr>
          <w:ilvl w:val="0"/>
          <w:numId w:val="13"/>
        </w:numPr>
        <w:suppressAutoHyphens w:val="0"/>
        <w:autoSpaceDE w:val="0"/>
        <w:autoSpaceDN/>
        <w:adjustRightInd w:val="0"/>
        <w:spacing w:line="276" w:lineRule="auto"/>
        <w:ind w:left="426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innymi przepisami obowiązującymi w tym zakresie;</w:t>
      </w:r>
    </w:p>
    <w:p w:rsidR="00F569D8" w:rsidRPr="00F569D8" w:rsidRDefault="00F569D8" w:rsidP="00F569D8">
      <w:pPr>
        <w:widowControl/>
        <w:numPr>
          <w:ilvl w:val="0"/>
          <w:numId w:val="13"/>
        </w:numPr>
        <w:suppressAutoHyphens w:val="0"/>
        <w:autoSpaceDE w:val="0"/>
        <w:autoSpaceDN/>
        <w:adjustRightInd w:val="0"/>
        <w:spacing w:line="276" w:lineRule="auto"/>
        <w:ind w:left="426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Kodeksem Etyki Zawodowej Rzeczoznawców Majątkowych,</w:t>
      </w:r>
    </w:p>
    <w:p w:rsidR="00F569D8" w:rsidRPr="00F569D8" w:rsidRDefault="00F569D8" w:rsidP="00F569D8">
      <w:pPr>
        <w:widowControl/>
        <w:autoSpaceDN/>
        <w:spacing w:line="276" w:lineRule="auto"/>
        <w:ind w:left="426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tj. rzetelnie, uczciwie, bezstronnie, z zachowaniem tajemnicy zawodowej </w:t>
      </w: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br/>
        <w:t xml:space="preserve">oraz z uwzględnieniem aktualnego stanowiska organów II instancji i orzecznictwa sądów.  </w:t>
      </w:r>
    </w:p>
    <w:p w:rsidR="00F569D8" w:rsidRPr="00F569D8" w:rsidRDefault="00F569D8" w:rsidP="00F569D8">
      <w:pPr>
        <w:widowControl/>
        <w:numPr>
          <w:ilvl w:val="0"/>
          <w:numId w:val="16"/>
        </w:numPr>
        <w:suppressAutoHyphens w:val="0"/>
        <w:autoSpaceDE w:val="0"/>
        <w:autoSpaceDN/>
        <w:adjustRightInd w:val="0"/>
        <w:spacing w:line="276" w:lineRule="auto"/>
        <w:ind w:left="426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W postępowaniach, na potrzeby których zostaną wykonane ww. opracowania rzeczoznawca m</w:t>
      </w: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a</w:t>
      </w: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jątkowy na wezwanie Zamawiającego zobowiązany jest do uczestnictwa w rozprawach admin</w:t>
      </w: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i</w:t>
      </w: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lastRenderedPageBreak/>
        <w:t xml:space="preserve">stracyjnych z udziałem stron prowadzonego postępowania (w wypadku konieczności </w:t>
      </w: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br/>
        <w:t>ich przeprowadzenia) oraz do składania pisemnych wyjaśnień.</w:t>
      </w:r>
    </w:p>
    <w:p w:rsidR="00F569D8" w:rsidRPr="00F569D8" w:rsidRDefault="00F569D8" w:rsidP="00F569D8">
      <w:pPr>
        <w:widowControl/>
        <w:numPr>
          <w:ilvl w:val="0"/>
          <w:numId w:val="16"/>
        </w:numPr>
        <w:suppressAutoHyphens w:val="0"/>
        <w:autoSpaceDE w:val="0"/>
        <w:autoSpaceDN/>
        <w:adjustRightInd w:val="0"/>
        <w:spacing w:line="276" w:lineRule="auto"/>
        <w:ind w:left="426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Jeżeli strony wniosą uwagi i zastrzeżenia do sporządzonego operatu szacunkowego, rzeczozna</w:t>
      </w: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w</w:t>
      </w: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ca majątkowy odniesie się do nich na piśmie w terminie nie dłuższym niż 14 dni od dnia powi</w:t>
      </w: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a</w:t>
      </w: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domienia go przez Zamawiającego o uwagach czy zastrzeżeniach.   </w:t>
      </w:r>
    </w:p>
    <w:p w:rsidR="00F569D8" w:rsidRPr="00F569D8" w:rsidRDefault="00F569D8" w:rsidP="00F569D8">
      <w:pPr>
        <w:widowControl/>
        <w:numPr>
          <w:ilvl w:val="0"/>
          <w:numId w:val="16"/>
        </w:numPr>
        <w:suppressAutoHyphens w:val="0"/>
        <w:autoSpaceDE w:val="0"/>
        <w:autoSpaceDN/>
        <w:adjustRightInd w:val="0"/>
        <w:spacing w:line="276" w:lineRule="auto"/>
        <w:ind w:left="426"/>
        <w:contextualSpacing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F569D8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Rzeczoznawca majątkowy zobowiązany jest do potwierdzania aktualności wykonanego operatu szacunkowego po upływie 12 miesięcy od daty jego sporządzenia, stosownie do art. 156 ust. 4 ustawy o gospodarce nieruchomościami - w terminie nie dłuższym niż 14 dni kalendarzowych od daty przekazania takiego wniosku przez Zamawiającego oraz w przypadku nie stwierdzenia znacznych różnic cen rynkowych nieruchomości.    </w:t>
      </w:r>
    </w:p>
    <w:p w:rsidR="00F569D8" w:rsidRPr="00F569D8" w:rsidRDefault="00F569D8" w:rsidP="00F569D8">
      <w:pPr>
        <w:widowControl/>
        <w:numPr>
          <w:ilvl w:val="0"/>
          <w:numId w:val="16"/>
        </w:numPr>
        <w:suppressAutoHyphens w:val="0"/>
        <w:autoSpaceDE w:val="0"/>
        <w:autoSpaceDN/>
        <w:adjustRightInd w:val="0"/>
        <w:spacing w:line="276" w:lineRule="auto"/>
        <w:ind w:left="426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W przypadku uchylenia decyzji z powodu wadliwie sporządzonego operatu szacunkowego rz</w:t>
      </w: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e</w:t>
      </w: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czoznawca majątkowy sporządzi bez dodatkowego wynagrodzenia prawidłowy operat szacu</w:t>
      </w: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n</w:t>
      </w: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kowy w oparciu o wytyczne organu II instancji lub sądu administracyjnego w terminie                   21 dni od dnia powiadomienia biegłego przez Zamawiającego o ujawnionych wadach                                i nieprawidłowościach. </w:t>
      </w:r>
    </w:p>
    <w:p w:rsidR="00F569D8" w:rsidRPr="00F569D8" w:rsidRDefault="00F569D8" w:rsidP="00F569D8">
      <w:pPr>
        <w:widowControl/>
        <w:numPr>
          <w:ilvl w:val="0"/>
          <w:numId w:val="16"/>
        </w:numPr>
        <w:suppressAutoHyphens w:val="0"/>
        <w:autoSpaceDE w:val="0"/>
        <w:autoSpaceDN/>
        <w:adjustRightInd w:val="0"/>
        <w:spacing w:line="276" w:lineRule="auto"/>
        <w:ind w:left="426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W przypadku obciążenia przedmiotu wyceny więcej niż jednym prawem rzeczowym, rzecz</w:t>
      </w: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</w:t>
      </w: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znawca majątkowy powinien określić wartość każdego z tych praw oddzielnie.</w:t>
      </w:r>
    </w:p>
    <w:p w:rsidR="00F569D8" w:rsidRPr="00F569D8" w:rsidRDefault="00F569D8" w:rsidP="00F569D8">
      <w:pPr>
        <w:widowControl/>
        <w:numPr>
          <w:ilvl w:val="0"/>
          <w:numId w:val="16"/>
        </w:numPr>
        <w:suppressAutoHyphens w:val="0"/>
        <w:autoSpaceDE w:val="0"/>
        <w:autoSpaceDN/>
        <w:adjustRightInd w:val="0"/>
        <w:spacing w:line="276" w:lineRule="auto"/>
        <w:ind w:left="426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Jeżeli przedmiotem wyceny jest działka obciążona jedną służebnością gruntową ustanowioną </w:t>
      </w: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br/>
        <w:t xml:space="preserve">na rzecz właścicieli innych nieruchomości, rzeczoznawca majątkowy zobowiązany jest określić wartość tego prawa oddzielnie dla poszczególnych właścicieli nieruchomości władnących. </w:t>
      </w:r>
    </w:p>
    <w:p w:rsidR="00F569D8" w:rsidRPr="00F569D8" w:rsidRDefault="00F569D8" w:rsidP="00F569D8">
      <w:pPr>
        <w:widowControl/>
        <w:numPr>
          <w:ilvl w:val="0"/>
          <w:numId w:val="16"/>
        </w:numPr>
        <w:suppressAutoHyphens w:val="0"/>
        <w:autoSpaceDE w:val="0"/>
        <w:autoSpaceDN/>
        <w:adjustRightInd w:val="0"/>
        <w:spacing w:line="276" w:lineRule="auto"/>
        <w:ind w:left="426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Rzeczoznawca majątkowy zobowiązany jest do umieszczania w operacie szacunkowym pełnego opisu nieruchomości porównawczych przyjętych do wyceny w kontekście obranych cech rynk</w:t>
      </w: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</w:t>
      </w: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wych stosownie do aktualnego orzecznictwa sądów administracyjnych (por. wyrok WSA </w:t>
      </w: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br/>
        <w:t xml:space="preserve">w Krakowie z dnia 29.04.2021 r., sygn. akt II SA/Kr 157/21). </w:t>
      </w:r>
    </w:p>
    <w:p w:rsidR="00F569D8" w:rsidRPr="00F569D8" w:rsidRDefault="00F569D8" w:rsidP="00F569D8">
      <w:pPr>
        <w:widowControl/>
        <w:numPr>
          <w:ilvl w:val="0"/>
          <w:numId w:val="16"/>
        </w:numPr>
        <w:suppressAutoHyphens w:val="0"/>
        <w:autoSpaceDE w:val="0"/>
        <w:autoSpaceDN/>
        <w:adjustRightInd w:val="0"/>
        <w:spacing w:line="276" w:lineRule="auto"/>
        <w:ind w:left="426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Rzeczoznawca majątkowy zobowiązany jest do umieszczania w operacie szacunkowym dok</w:t>
      </w: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u</w:t>
      </w: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mentacji fotograficznej sporządzonej w trakcie oględzin nieruchomości. </w:t>
      </w:r>
    </w:p>
    <w:p w:rsidR="00F569D8" w:rsidRPr="00F569D8" w:rsidRDefault="00F569D8" w:rsidP="00F569D8">
      <w:pPr>
        <w:widowControl/>
        <w:numPr>
          <w:ilvl w:val="0"/>
          <w:numId w:val="16"/>
        </w:numPr>
        <w:suppressAutoHyphens w:val="0"/>
        <w:autoSpaceDE w:val="0"/>
        <w:autoSpaceDN/>
        <w:adjustRightInd w:val="0"/>
        <w:spacing w:line="276" w:lineRule="auto"/>
        <w:ind w:left="426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Rzeczoznawca majątkowy zobowiązany jest uzasadnić przyjęty sposób wyceny </w:t>
      </w: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br/>
        <w:t>oraz wskazać i wyjaśnić przesłanki, które doprowadziły do przedstawionych konkluzji w sposób logiczny, spójny i wiarygodny.</w:t>
      </w:r>
    </w:p>
    <w:p w:rsidR="00F569D8" w:rsidRPr="00F569D8" w:rsidRDefault="00F569D8" w:rsidP="00F569D8">
      <w:pPr>
        <w:widowControl/>
        <w:numPr>
          <w:ilvl w:val="0"/>
          <w:numId w:val="16"/>
        </w:numPr>
        <w:suppressAutoHyphens w:val="0"/>
        <w:autoSpaceDE w:val="0"/>
        <w:autoSpaceDN/>
        <w:adjustRightInd w:val="0"/>
        <w:spacing w:line="276" w:lineRule="auto"/>
        <w:ind w:left="426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Rzeczoznawca majątkowy zobowiązany jest do zamieszczenia w operacie szacunkowym wyj</w:t>
      </w: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a</w:t>
      </w: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śnień, czy przeznaczenie nieruchomości wycenianej, zgodne z celem wywłaszczenia (przejęcia) powoduje wzrost jej wartości (zasada korzyści wynikająca z art. 134 ustawy </w:t>
      </w: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br/>
        <w:t>o gospodarce nieruchomościami). W przypadku stwierdzenia, że zachodzi zasada korzyści rz</w:t>
      </w: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e</w:t>
      </w: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czoznawca majątkowy przeprowadza wycenę zgodnie z ukształtowanym i jednolitym orzeczni</w:t>
      </w: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c</w:t>
      </w: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twem sądów administracyjnych (por. wyrok NSA z dnia 10.07.2019 r., sygn. akt I OSK 2430/17). </w:t>
      </w:r>
    </w:p>
    <w:p w:rsidR="00F569D8" w:rsidRPr="00F569D8" w:rsidRDefault="00F569D8" w:rsidP="00F569D8">
      <w:pPr>
        <w:widowControl/>
        <w:numPr>
          <w:ilvl w:val="0"/>
          <w:numId w:val="16"/>
        </w:numPr>
        <w:suppressAutoHyphens w:val="0"/>
        <w:autoSpaceDE w:val="0"/>
        <w:autoSpaceDN/>
        <w:adjustRightInd w:val="0"/>
        <w:spacing w:line="276" w:lineRule="auto"/>
        <w:ind w:left="426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Rzeczoznawca majątkowy jest uprawniony do zapoznania się z dokumentami prowadzonych p</w:t>
      </w: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</w:t>
      </w: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stępowań w zakresie, jaki jest niezbędny do przygotowania opinii w formie operatów szacunk</w:t>
      </w: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</w:t>
      </w: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wych.</w:t>
      </w:r>
    </w:p>
    <w:p w:rsidR="00F569D8" w:rsidRPr="00F569D8" w:rsidRDefault="00F569D8" w:rsidP="00F569D8">
      <w:pPr>
        <w:suppressAutoHyphens w:val="0"/>
        <w:autoSpaceDE w:val="0"/>
        <w:adjustRightInd w:val="0"/>
        <w:spacing w:line="276" w:lineRule="auto"/>
        <w:ind w:left="426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F569D8" w:rsidRPr="00F569D8" w:rsidRDefault="00F569D8" w:rsidP="00F569D8">
      <w:pPr>
        <w:widowControl/>
        <w:tabs>
          <w:tab w:val="left" w:pos="0"/>
        </w:tabs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F569D8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 xml:space="preserve">W ofercie wykonawca winien określić oddzielnie cenę jednostkową każdego wymienionego typu operatu szacunkowego. </w:t>
      </w:r>
    </w:p>
    <w:p w:rsidR="00F569D8" w:rsidRPr="00F569D8" w:rsidRDefault="00F569D8" w:rsidP="00F569D8">
      <w:pPr>
        <w:widowControl/>
        <w:tabs>
          <w:tab w:val="left" w:pos="0"/>
        </w:tabs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F569D8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Najkorzystniejszą ofertą będzie ta, w której suma poszczególnych cen jednostkowych jest najni</w:t>
      </w:r>
      <w:r w:rsidRPr="00F569D8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ż</w:t>
      </w:r>
      <w:r w:rsidRPr="00F569D8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 xml:space="preserve">sza. </w:t>
      </w:r>
    </w:p>
    <w:p w:rsidR="00F569D8" w:rsidRPr="00F569D8" w:rsidRDefault="00F569D8" w:rsidP="00F569D8">
      <w:pPr>
        <w:widowControl/>
        <w:tabs>
          <w:tab w:val="left" w:pos="0"/>
        </w:tabs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F569D8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 xml:space="preserve">Należność za wykonane zlecenie będzie iloczynem ceny jednostkowej i ilości poszczególnych typów operatów szacunkowych. </w:t>
      </w:r>
    </w:p>
    <w:p w:rsidR="00F569D8" w:rsidRPr="00F569D8" w:rsidRDefault="00F569D8" w:rsidP="00F569D8">
      <w:pPr>
        <w:widowControl/>
        <w:tabs>
          <w:tab w:val="left" w:pos="0"/>
        </w:tabs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F569D8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Zlecenia będą dokonywane sukcesywnie przez Wydział Gospodarki Nieruchomościami, stąd d</w:t>
      </w:r>
      <w:r w:rsidRPr="00F569D8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o</w:t>
      </w:r>
      <w:r w:rsidRPr="00F569D8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puszczenie wystawiania faktur cząstkowych za poszczególne etapy prac wykonanych w terminach wynikających ze zlecenia.</w:t>
      </w:r>
    </w:p>
    <w:p w:rsidR="00F569D8" w:rsidRPr="00F569D8" w:rsidRDefault="00F569D8" w:rsidP="00F569D8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</w:pPr>
    </w:p>
    <w:p w:rsidR="00F569D8" w:rsidRPr="00F569D8" w:rsidRDefault="00F569D8" w:rsidP="00F569D8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</w:pPr>
      <w:r w:rsidRPr="00F569D8"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  <w:t>Szczegółowe informacje udzielane są w Wydziale Gospodarki Nieruchomościami pod nr tel. (18) 26-10-782 i (18) 26-10-783. Pracownik prowadzący: Pani Teresa Pilch-Wójcik.</w:t>
      </w:r>
    </w:p>
    <w:p w:rsidR="00F569D8" w:rsidRPr="00F569D8" w:rsidRDefault="00F569D8" w:rsidP="00F569D8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F569D8" w:rsidRPr="00F569D8" w:rsidRDefault="00F569D8" w:rsidP="00F569D8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Uwaga!: Rozliczenie płatności wynikające z zawartej umowy nastąpi za pośrednictwem metody p</w:t>
      </w: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</w:t>
      </w:r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dzielnej płatności na podst. art. 108a ustawy z dnia 11 marca 2004 r. o podatku od towarów i usług (t. j. Dz. U z 2022 r., poz. 931 z </w:t>
      </w:r>
      <w:proofErr w:type="spellStart"/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późn</w:t>
      </w:r>
      <w:proofErr w:type="spellEnd"/>
      <w:r w:rsidRPr="00F569D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. zm.).</w:t>
      </w:r>
    </w:p>
    <w:p w:rsidR="00F569D8" w:rsidRPr="00F569D8" w:rsidRDefault="00F569D8" w:rsidP="00F569D8">
      <w:pPr>
        <w:widowControl/>
        <w:tabs>
          <w:tab w:val="left" w:pos="426"/>
        </w:tabs>
        <w:autoSpaceDN/>
        <w:spacing w:line="276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F569D8" w:rsidRPr="00F569D8" w:rsidRDefault="00F569D8" w:rsidP="00F569D8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pl-PL" w:bidi="ar-SA"/>
        </w:rPr>
      </w:pPr>
      <w:r w:rsidRPr="00F569D8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</w:t>
      </w:r>
      <w:r w:rsidRPr="00F569D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zgodnie z zawartą umową -  do 4 tygodni od otrzymania zlecenia.</w:t>
      </w:r>
    </w:p>
    <w:p w:rsidR="00F569D8" w:rsidRPr="00F569D8" w:rsidRDefault="00F569D8" w:rsidP="00F569D8">
      <w:pPr>
        <w:widowControl/>
        <w:autoSpaceDN/>
        <w:spacing w:line="276" w:lineRule="auto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pl-PL" w:bidi="ar-SA"/>
        </w:rPr>
      </w:pPr>
      <w:r w:rsidRPr="00F569D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Termin oddania wszystkich opracowań nie może przekroczyć: 30 listopada 2023 r.</w:t>
      </w:r>
    </w:p>
    <w:p w:rsidR="00123A1B" w:rsidRDefault="00123A1B" w:rsidP="003B3DE9">
      <w:pPr>
        <w:suppressAutoHyphens w:val="0"/>
        <w:autoSpaceDE w:val="0"/>
        <w:adjustRightInd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F569D8" w:rsidRPr="003B3DE9" w:rsidRDefault="00F569D8" w:rsidP="003B3DE9">
      <w:pPr>
        <w:suppressAutoHyphens w:val="0"/>
        <w:autoSpaceDE w:val="0"/>
        <w:adjustRightInd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:rsidR="00F569D8" w:rsidRDefault="00F569D8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638AB" w:rsidRPr="00915DA4" w:rsidRDefault="009638AB" w:rsidP="009638AB">
      <w:pPr>
        <w:pStyle w:val="Akapitzlist"/>
        <w:autoSpaceDN/>
        <w:spacing w:line="276" w:lineRule="auto"/>
        <w:ind w:left="-142" w:firstLine="0"/>
        <w:contextualSpacing/>
        <w:jc w:val="both"/>
        <w:rPr>
          <w:rFonts w:ascii="Calibri" w:hAnsi="Calibri" w:cs="Calibri"/>
          <w:sz w:val="22"/>
          <w:szCs w:val="22"/>
        </w:rPr>
      </w:pPr>
      <w:r w:rsidRPr="00915DA4">
        <w:rPr>
          <w:rFonts w:ascii="Calibri" w:hAnsi="Calibri" w:cs="Calibri"/>
          <w:sz w:val="22"/>
          <w:szCs w:val="22"/>
        </w:rPr>
        <w:t>Cena jednostkowa dotyczy operatu szacunkowego wyceny nieruchomości (jedna księga wieczysta lub jednolite władanie) obejmującej działki położone w jednym kompleksie, dla następujących przypadków:</w:t>
      </w:r>
    </w:p>
    <w:p w:rsidR="00123A1B" w:rsidRDefault="00912A2B">
      <w:pPr>
        <w:pStyle w:val="Standard"/>
        <w:suppressAutoHyphens w:val="0"/>
        <w:spacing w:before="12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1)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pl-PL"/>
        </w:rPr>
        <w:t>jednostkowa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dotyczy operatu szacunkowego wyceny nieruchomości (jedna księga wieczysta lub jednolite władanie) obejmującej działki położone w jednym kompleksie, dla 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gruntu niezabudowanego  bez ograniczonych praw rzeczowych</w:t>
      </w:r>
      <w:r>
        <w:rPr>
          <w:rFonts w:ascii="Calibri" w:hAnsi="Calibri" w:cs="Calibri"/>
          <w:b/>
          <w:sz w:val="22"/>
          <w:szCs w:val="22"/>
          <w:lang w:eastAsia="pl-PL"/>
        </w:rPr>
        <w:t>: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………………………………………………………… 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2)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pl-PL"/>
        </w:rPr>
        <w:t>jednostkowa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dotyczy operatu szacunkowego wyceny nieruchomości (jedna księga wieczysta lub jednolite władanie) obejmującej działki położone w jednym kompleksie, dla 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gruntu niezabudowanego z ograniczonymi prawami rzeczowymi: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…………………………………………………… 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3)</w:t>
      </w:r>
    </w:p>
    <w:p w:rsidR="00123A1B" w:rsidRDefault="00912A2B">
      <w:pPr>
        <w:pStyle w:val="Standard"/>
        <w:pBdr>
          <w:top w:val="single" w:sz="4" w:space="1" w:color="000000"/>
          <w:left w:val="single" w:sz="4" w:space="0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pl-PL"/>
        </w:rPr>
        <w:t>jednostkowa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dotyczy operatu szacunkowego wyceny nieruchomości (jedna księga wieczysta lub jednolite władanie) obejmującej działki położone w jednym kompleksie, dla  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gruntu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br/>
        <w:t xml:space="preserve"> z częściami składowymi bez ograniczonych praw rzeczowych: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…………………………………………………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0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4)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pl-PL"/>
        </w:rPr>
        <w:t>jednostkowa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dotyczy operatu szacunkowego wyceny nieruchomości (jedna księga wieczysta lub jednolite władanie) obejmującej działki położone w jednym kompleksie, dla 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gruntu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br/>
        <w:t xml:space="preserve"> z częściami składowymi z ograniczonymi prawami rzeczowymi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 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lang w:eastAsia="pl-PL"/>
        </w:rPr>
        <w:lastRenderedPageBreak/>
        <w:t xml:space="preserve">Suma poszczególnych cen </w:t>
      </w:r>
      <w:r>
        <w:rPr>
          <w:rFonts w:ascii="Calibri" w:hAnsi="Calibri" w:cs="Calibri"/>
          <w:b/>
          <w:lang w:eastAsia="pl-PL"/>
        </w:rPr>
        <w:t>jednostkowych</w:t>
      </w:r>
      <w:r>
        <w:rPr>
          <w:rFonts w:ascii="Calibri" w:hAnsi="Calibri" w:cs="Calibri"/>
          <w:b/>
          <w:iCs/>
          <w:spacing w:val="-1"/>
          <w:lang w:eastAsia="pl-PL"/>
        </w:rPr>
        <w:t xml:space="preserve"> brutto (1+2+3+4)</w:t>
      </w:r>
      <w:r>
        <w:rPr>
          <w:rFonts w:ascii="Calibri" w:hAnsi="Calibri" w:cs="Calibri"/>
          <w:b/>
          <w:lang w:eastAsia="pl-PL"/>
        </w:rPr>
        <w:t xml:space="preserve"> dotyczących każdego wymi</w:t>
      </w:r>
      <w:r>
        <w:rPr>
          <w:rFonts w:ascii="Calibri" w:hAnsi="Calibri" w:cs="Calibri"/>
          <w:b/>
          <w:lang w:eastAsia="pl-PL"/>
        </w:rPr>
        <w:t>e</w:t>
      </w:r>
      <w:r>
        <w:rPr>
          <w:rFonts w:ascii="Calibri" w:hAnsi="Calibri" w:cs="Calibri"/>
          <w:b/>
          <w:lang w:eastAsia="pl-PL"/>
        </w:rPr>
        <w:t>nionego typu operatu szacunkowego: ……………………………………………………</w:t>
      </w:r>
      <w:r>
        <w:rPr>
          <w:rFonts w:ascii="Calibri" w:hAnsi="Calibri" w:cs="Calibri"/>
          <w:b/>
          <w:iCs/>
          <w:lang w:eastAsia="pl-PL"/>
        </w:rPr>
        <w:t xml:space="preserve"> 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b/>
          <w:lang w:eastAsia="pl-PL"/>
        </w:rPr>
        <w:t>/słownie/..............................................................................................................................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:rsidR="00123A1B" w:rsidRDefault="00912A2B" w:rsidP="00F569D8">
      <w:pPr>
        <w:pStyle w:val="Zwykytekst1"/>
        <w:numPr>
          <w:ilvl w:val="0"/>
          <w:numId w:val="11"/>
        </w:numPr>
        <w:tabs>
          <w:tab w:val="left" w:pos="710"/>
        </w:tabs>
        <w:ind w:left="284" w:hanging="284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uzyskaliśmy wszelkie niezbędne informacje do przygotowania oferty</w:t>
      </w:r>
    </w:p>
    <w:p w:rsidR="00123A1B" w:rsidRDefault="00912A2B" w:rsidP="00F569D8">
      <w:pPr>
        <w:pStyle w:val="Zwykytekst1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B3DE9">
        <w:rPr>
          <w:rFonts w:ascii="Calibri" w:hAnsi="Calibri" w:cs="Calibri"/>
          <w:sz w:val="22"/>
          <w:szCs w:val="22"/>
        </w:rPr>
        <w:t xml:space="preserve">zapoznaliśmy się z treścią zapytania ofertowego oraz wszystkimi jego załącznikami </w:t>
      </w:r>
      <w:r w:rsidR="0063366A" w:rsidRPr="003B3DE9">
        <w:rPr>
          <w:rFonts w:ascii="Calibri" w:hAnsi="Calibri" w:cs="Calibri"/>
          <w:sz w:val="22"/>
          <w:szCs w:val="22"/>
        </w:rPr>
        <w:br/>
      </w:r>
      <w:r w:rsidRPr="003B3DE9">
        <w:rPr>
          <w:rFonts w:ascii="Calibri" w:hAnsi="Calibri" w:cs="Calibri"/>
          <w:sz w:val="22"/>
          <w:szCs w:val="22"/>
        </w:rPr>
        <w:t>i przyjmujemy je bez zastrzeżeń</w:t>
      </w:r>
    </w:p>
    <w:p w:rsidR="00F569D8" w:rsidRPr="006B6959" w:rsidRDefault="00F569D8" w:rsidP="00F569D8">
      <w:pPr>
        <w:widowControl/>
        <w:numPr>
          <w:ilvl w:val="0"/>
          <w:numId w:val="20"/>
        </w:numPr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6B6959">
        <w:rPr>
          <w:rFonts w:ascii="Calibri" w:hAnsi="Calibri" w:cs="Calibri"/>
          <w:sz w:val="22"/>
          <w:szCs w:val="22"/>
        </w:rPr>
        <w:t>świadczamy, że nie zachodzą w stosunku do nas przesłanki wykluczenia z postępowania na podstawie art. 7 ust. 1 ustawy z dnia 13 kwietnia 2022r. o szczególnych rozwiązaniach w zakresie przeciwdziałania wspieraniu agresji na Ukrainę oraz służących ochronie bezpieczeństwa narodowego, oraz na podstawie przepisów art. 5k rozporządzenia (UE) nr 2022/576 z dnia 8 kwietnia 2022r. w sprawie zmiany rozporządzenia (UE) nr 833/2014 dotyczących środków ograniczających w związku z działaniami Rosji destabilizujących sytuację na Ukrainie.</w:t>
      </w:r>
    </w:p>
    <w:p w:rsidR="003B3DE9" w:rsidRPr="003B3DE9" w:rsidRDefault="003B3DE9" w:rsidP="003B3DE9">
      <w:pPr>
        <w:pStyle w:val="Zwykytekst1"/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</w:p>
    <w:p w:rsidR="00123A1B" w:rsidRDefault="00912A2B">
      <w:pPr>
        <w:pStyle w:val="Standard"/>
        <w:shd w:val="clear" w:color="auto" w:fill="FFFFFF"/>
        <w:tabs>
          <w:tab w:val="left" w:pos="720"/>
        </w:tabs>
        <w:spacing w:before="110" w:line="288" w:lineRule="exact"/>
        <w:ind w:left="720" w:hanging="720"/>
        <w:jc w:val="both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/ podpis /</w:t>
      </w:r>
    </w:p>
    <w:sectPr w:rsidR="00123A1B" w:rsidSect="00C67582">
      <w:headerReference w:type="default" r:id="rId8"/>
      <w:footerReference w:type="default" r:id="rId9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92" w:rsidRDefault="006D0D92">
      <w:r>
        <w:separator/>
      </w:r>
    </w:p>
  </w:endnote>
  <w:endnote w:type="continuationSeparator" w:id="0">
    <w:p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92" w:rsidRDefault="006D0D92">
      <w:r>
        <w:rPr>
          <w:color w:val="000000"/>
        </w:rPr>
        <w:separator/>
      </w:r>
    </w:p>
  </w:footnote>
  <w:footnote w:type="continuationSeparator" w:id="0">
    <w:p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2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9"/>
  </w:num>
  <w:num w:numId="5">
    <w:abstractNumId w:val="15"/>
  </w:num>
  <w:num w:numId="6">
    <w:abstractNumId w:val="4"/>
  </w:num>
  <w:num w:numId="7">
    <w:abstractNumId w:val="12"/>
  </w:num>
  <w:num w:numId="8">
    <w:abstractNumId w:val="2"/>
  </w:num>
  <w:num w:numId="9">
    <w:abstractNumId w:val="8"/>
  </w:num>
  <w:num w:numId="10">
    <w:abstractNumId w:val="2"/>
  </w:num>
  <w:num w:numId="11">
    <w:abstractNumId w:val="14"/>
  </w:num>
  <w:num w:numId="12">
    <w:abstractNumId w:val="13"/>
  </w:num>
  <w:num w:numId="13">
    <w:abstractNumId w:val="11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</w:num>
  <w:num w:numId="18">
    <w:abstractNumId w:val="1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A1B"/>
    <w:rsid w:val="00123A1B"/>
    <w:rsid w:val="003B3DE9"/>
    <w:rsid w:val="00521DD5"/>
    <w:rsid w:val="005B0DA0"/>
    <w:rsid w:val="00625920"/>
    <w:rsid w:val="0063366A"/>
    <w:rsid w:val="006D0D92"/>
    <w:rsid w:val="009058D9"/>
    <w:rsid w:val="00912A2B"/>
    <w:rsid w:val="009638AB"/>
    <w:rsid w:val="00996D7C"/>
    <w:rsid w:val="00A213B6"/>
    <w:rsid w:val="00A56719"/>
    <w:rsid w:val="00A72475"/>
    <w:rsid w:val="00AC6747"/>
    <w:rsid w:val="00C453A5"/>
    <w:rsid w:val="00C67582"/>
    <w:rsid w:val="00E56076"/>
    <w:rsid w:val="00EB6AFE"/>
    <w:rsid w:val="00F5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1476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Ewa Rusnaczyk</cp:lastModifiedBy>
  <cp:revision>15</cp:revision>
  <cp:lastPrinted>2019-07-29T14:48:00Z</cp:lastPrinted>
  <dcterms:created xsi:type="dcterms:W3CDTF">2008-10-03T10:05:00Z</dcterms:created>
  <dcterms:modified xsi:type="dcterms:W3CDTF">2023-02-16T07:59:00Z</dcterms:modified>
</cp:coreProperties>
</file>