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E01" w:rsidRPr="00932F71" w:rsidRDefault="00D70E01" w:rsidP="00515417">
      <w:pPr>
        <w:jc w:val="center"/>
        <w:rPr>
          <w:rFonts w:ascii="Times New Roman" w:hAnsi="Times New Roman" w:cs="Times New Roman"/>
          <w:b/>
          <w:sz w:val="24"/>
          <w:szCs w:val="24"/>
          <w:shd w:val="clear" w:color="auto" w:fill="FFFFFF"/>
        </w:rPr>
      </w:pPr>
      <w:r w:rsidRPr="00932F71">
        <w:rPr>
          <w:rFonts w:ascii="Times New Roman" w:hAnsi="Times New Roman" w:cs="Times New Roman"/>
          <w:b/>
          <w:sz w:val="24"/>
          <w:szCs w:val="24"/>
          <w:shd w:val="clear" w:color="auto" w:fill="FFFFFF"/>
        </w:rPr>
        <w:t>Pytanie i odpowiedź nr 13</w:t>
      </w:r>
      <w:bookmarkStart w:id="0" w:name="_GoBack"/>
      <w:bookmarkEnd w:id="0"/>
    </w:p>
    <w:p w:rsidR="00EB1292" w:rsidRPr="00515417" w:rsidRDefault="00672BDF">
      <w:pPr>
        <w:rPr>
          <w:rFonts w:ascii="Times New Roman" w:hAnsi="Times New Roman" w:cs="Times New Roman"/>
          <w:sz w:val="24"/>
          <w:szCs w:val="24"/>
          <w:shd w:val="clear" w:color="auto" w:fill="FFFFFF"/>
        </w:rPr>
      </w:pPr>
      <w:r w:rsidRPr="00515417">
        <w:rPr>
          <w:rFonts w:ascii="Times New Roman" w:hAnsi="Times New Roman" w:cs="Times New Roman"/>
          <w:sz w:val="24"/>
          <w:szCs w:val="24"/>
          <w:shd w:val="clear" w:color="auto" w:fill="FFFFFF"/>
        </w:rPr>
        <w:t>Dzień dobry</w:t>
      </w:r>
      <w:r w:rsidRPr="00515417">
        <w:rPr>
          <w:rFonts w:ascii="Times New Roman" w:hAnsi="Times New Roman" w:cs="Times New Roman"/>
          <w:sz w:val="24"/>
          <w:szCs w:val="24"/>
        </w:rPr>
        <w:br/>
      </w:r>
      <w:r w:rsidRPr="00515417">
        <w:rPr>
          <w:rFonts w:ascii="Times New Roman" w:hAnsi="Times New Roman" w:cs="Times New Roman"/>
          <w:sz w:val="24"/>
          <w:szCs w:val="24"/>
          <w:shd w:val="clear" w:color="auto" w:fill="FFFFFF"/>
        </w:rPr>
        <w:t>W dokumentacji przetargowej wskazano słupy oświetleniowe wskazując producenta oraz oznaczenia własne tego producenta.</w:t>
      </w:r>
      <w:r w:rsidRPr="00515417">
        <w:rPr>
          <w:rFonts w:ascii="Times New Roman" w:hAnsi="Times New Roman" w:cs="Times New Roman"/>
          <w:sz w:val="24"/>
          <w:szCs w:val="24"/>
        </w:rPr>
        <w:br/>
      </w:r>
      <w:r w:rsidRPr="00515417">
        <w:rPr>
          <w:rFonts w:ascii="Times New Roman" w:hAnsi="Times New Roman" w:cs="Times New Roman"/>
          <w:sz w:val="24"/>
          <w:szCs w:val="24"/>
          <w:shd w:val="clear" w:color="auto" w:fill="FFFFFF"/>
        </w:rPr>
        <w:t xml:space="preserve">Wstępna analiza konstrukcji ( słup, wysięgnik, oprawa ) nasuwa wątpliwości co do prawidłowości doboru pod względem wytrzymałościowym, przy stawianych równocześnie wymaganiach </w:t>
      </w:r>
      <w:proofErr w:type="spellStart"/>
      <w:r w:rsidRPr="00515417">
        <w:rPr>
          <w:rFonts w:ascii="Times New Roman" w:hAnsi="Times New Roman" w:cs="Times New Roman"/>
          <w:sz w:val="24"/>
          <w:szCs w:val="24"/>
          <w:shd w:val="clear" w:color="auto" w:fill="FFFFFF"/>
        </w:rPr>
        <w:t>tj</w:t>
      </w:r>
      <w:proofErr w:type="spellEnd"/>
      <w:r w:rsidRPr="00515417">
        <w:rPr>
          <w:rFonts w:ascii="Times New Roman" w:hAnsi="Times New Roman" w:cs="Times New Roman"/>
          <w:sz w:val="24"/>
          <w:szCs w:val="24"/>
          <w:shd w:val="clear" w:color="auto" w:fill="FFFFFF"/>
        </w:rPr>
        <w:t xml:space="preserve">, II strefa wiatrowa, wskazana oprawa o stosunkowo dużym ciężarze oraz powierzchni wiatrowej w połączeniu z wysokością konstrukcji i relatywnie długimi wysięgnikami jak 2,5m oraz 2x2,5m/90". </w:t>
      </w:r>
    </w:p>
    <w:p w:rsidR="00EB1292" w:rsidRPr="00515417" w:rsidRDefault="00672BDF">
      <w:pPr>
        <w:rPr>
          <w:rFonts w:ascii="Times New Roman" w:hAnsi="Times New Roman" w:cs="Times New Roman"/>
          <w:sz w:val="24"/>
          <w:szCs w:val="24"/>
          <w:shd w:val="clear" w:color="auto" w:fill="FFFFFF"/>
        </w:rPr>
      </w:pPr>
      <w:r w:rsidRPr="00515417">
        <w:rPr>
          <w:rFonts w:ascii="Times New Roman" w:hAnsi="Times New Roman" w:cs="Times New Roman"/>
          <w:sz w:val="24"/>
          <w:szCs w:val="24"/>
          <w:shd w:val="clear" w:color="auto" w:fill="FFFFFF"/>
        </w:rPr>
        <w:t>Nieprawidłowo dobrane konstrukcje wsporcze stanowią niebezpieczeństwo dla użytkowników.</w:t>
      </w:r>
      <w:r w:rsidRPr="00515417">
        <w:rPr>
          <w:rFonts w:ascii="Times New Roman" w:hAnsi="Times New Roman" w:cs="Times New Roman"/>
          <w:sz w:val="24"/>
          <w:szCs w:val="24"/>
        </w:rPr>
        <w:br/>
      </w:r>
      <w:r w:rsidRPr="00515417">
        <w:rPr>
          <w:rFonts w:ascii="Times New Roman" w:hAnsi="Times New Roman" w:cs="Times New Roman"/>
          <w:sz w:val="24"/>
          <w:szCs w:val="24"/>
          <w:shd w:val="clear" w:color="auto" w:fill="FFFFFF"/>
        </w:rPr>
        <w:t>W związku opisanym powyżej wnoszę o:</w:t>
      </w:r>
      <w:r w:rsidRPr="00515417">
        <w:rPr>
          <w:rFonts w:ascii="Times New Roman" w:hAnsi="Times New Roman" w:cs="Times New Roman"/>
          <w:sz w:val="24"/>
          <w:szCs w:val="24"/>
        </w:rPr>
        <w:br/>
      </w:r>
      <w:r w:rsidRPr="00515417">
        <w:rPr>
          <w:rFonts w:ascii="Times New Roman" w:hAnsi="Times New Roman" w:cs="Times New Roman"/>
          <w:sz w:val="24"/>
          <w:szCs w:val="24"/>
          <w:shd w:val="clear" w:color="auto" w:fill="FFFFFF"/>
        </w:rPr>
        <w:t>1. Usunięcie z dokumentacji projektowej zapisów wskazujących na konkretnego producenta ( nazwa producenta, oznaczenia własne ).</w:t>
      </w:r>
    </w:p>
    <w:p w:rsidR="00EB1292" w:rsidRPr="00932F71" w:rsidRDefault="00932F71" w:rsidP="00EB1292">
      <w:pPr>
        <w:contextualSpacing/>
        <w:jc w:val="both"/>
        <w:rPr>
          <w:rFonts w:ascii="Times New Roman" w:hAnsi="Times New Roman" w:cs="Times New Roman"/>
          <w:b/>
          <w:color w:val="000000" w:themeColor="text1"/>
          <w:sz w:val="24"/>
          <w:szCs w:val="24"/>
        </w:rPr>
      </w:pPr>
      <w:r w:rsidRPr="00515417">
        <w:rPr>
          <w:rFonts w:ascii="Times New Roman" w:hAnsi="Times New Roman" w:cs="Times New Roman"/>
          <w:b/>
          <w:color w:val="000000" w:themeColor="text1"/>
          <w:sz w:val="24"/>
          <w:szCs w:val="24"/>
          <w:highlight w:val="green"/>
        </w:rPr>
        <w:t>Odp. 1.</w:t>
      </w:r>
      <w:r>
        <w:rPr>
          <w:rFonts w:ascii="Times New Roman" w:hAnsi="Times New Roman" w:cs="Times New Roman"/>
          <w:b/>
          <w:color w:val="000000" w:themeColor="text1"/>
          <w:sz w:val="24"/>
          <w:szCs w:val="24"/>
        </w:rPr>
        <w:t xml:space="preserve"> </w:t>
      </w:r>
      <w:r w:rsidR="00EB1292" w:rsidRPr="00932F71">
        <w:rPr>
          <w:rFonts w:ascii="Times New Roman" w:hAnsi="Times New Roman" w:cs="Times New Roman"/>
          <w:b/>
          <w:color w:val="000000" w:themeColor="text1"/>
          <w:sz w:val="24"/>
          <w:szCs w:val="24"/>
        </w:rPr>
        <w:t xml:space="preserve">Zamawiający informuje, że zgodnie z SWZ pkt. </w:t>
      </w:r>
      <w:r w:rsidR="00EB1292" w:rsidRPr="00932F71">
        <w:rPr>
          <w:rFonts w:ascii="Times New Roman" w:hAnsi="Times New Roman" w:cs="Times New Roman"/>
          <w:b/>
          <w:color w:val="000000" w:themeColor="text1"/>
          <w:sz w:val="24"/>
          <w:szCs w:val="24"/>
        </w:rPr>
        <w:t>12.9. Rozwiązania równoważne</w:t>
      </w:r>
      <w:r w:rsidR="00EB1292" w:rsidRPr="00932F71">
        <w:rPr>
          <w:rFonts w:ascii="Times New Roman" w:hAnsi="Times New Roman" w:cs="Times New Roman"/>
          <w:color w:val="000000" w:themeColor="text1"/>
          <w:sz w:val="24"/>
          <w:szCs w:val="24"/>
        </w:rPr>
        <w:t>.</w:t>
      </w:r>
    </w:p>
    <w:p w:rsidR="00EB1292" w:rsidRPr="00932F71" w:rsidRDefault="00EB1292" w:rsidP="00EB1292">
      <w:pPr>
        <w:contextualSpacing/>
        <w:jc w:val="both"/>
        <w:rPr>
          <w:rFonts w:ascii="Times New Roman" w:hAnsi="Times New Roman" w:cs="Times New Roman"/>
          <w:color w:val="000000" w:themeColor="text1"/>
          <w:sz w:val="24"/>
          <w:szCs w:val="24"/>
        </w:rPr>
      </w:pPr>
      <w:r w:rsidRPr="00932F71">
        <w:rPr>
          <w:rFonts w:ascii="Times New Roman" w:hAnsi="Times New Roman" w:cs="Times New Roman"/>
          <w:color w:val="000000" w:themeColor="text1"/>
          <w:sz w:val="24"/>
          <w:szCs w:val="24"/>
        </w:rPr>
        <w:t xml:space="preserve">Zamawiający podkreśla iż, podane nazwy własne w opisie przedmiotu zamówienia </w:t>
      </w:r>
      <w:r w:rsidRPr="00932F71">
        <w:rPr>
          <w:rFonts w:ascii="Times New Roman" w:hAnsi="Times New Roman" w:cs="Times New Roman"/>
          <w:color w:val="000000" w:themeColor="text1"/>
          <w:sz w:val="24"/>
          <w:szCs w:val="24"/>
        </w:rPr>
        <w:br/>
        <w:t>są nazwami przykładowymi i służą wyłącznie określeniu standardu projektowanych parametrów materiałów. Zamawiający dopuszcza użycie materiałów równoważnych w stosunku do określonych w dokumentacji projektowej, lecz parametry użytego materiału nie mogą być niższe od parametrów podanych jako przykład.</w:t>
      </w:r>
      <w:r w:rsidRPr="00932F71">
        <w:rPr>
          <w:rFonts w:ascii="Times New Roman" w:hAnsi="Times New Roman" w:cs="Times New Roman"/>
          <w:color w:val="000000" w:themeColor="text1"/>
          <w:sz w:val="24"/>
          <w:szCs w:val="24"/>
        </w:rPr>
        <w:t xml:space="preserve"> Cd. w SWZ. </w:t>
      </w:r>
    </w:p>
    <w:p w:rsidR="00EB1292" w:rsidRPr="00932F71" w:rsidRDefault="00672BDF" w:rsidP="00EB1292">
      <w:pPr>
        <w:widowControl w:val="0"/>
        <w:jc w:val="both"/>
        <w:rPr>
          <w:rFonts w:ascii="Times New Roman" w:hAnsi="Times New Roman" w:cs="Times New Roman"/>
          <w:b/>
          <w:bCs/>
          <w:color w:val="000000" w:themeColor="text1"/>
          <w:sz w:val="24"/>
          <w:szCs w:val="24"/>
        </w:rPr>
      </w:pPr>
      <w:r w:rsidRPr="00515417">
        <w:rPr>
          <w:rFonts w:ascii="Times New Roman" w:hAnsi="Times New Roman" w:cs="Times New Roman"/>
          <w:sz w:val="24"/>
          <w:szCs w:val="24"/>
        </w:rPr>
        <w:br/>
      </w:r>
      <w:r w:rsidRPr="00515417">
        <w:rPr>
          <w:rFonts w:ascii="Times New Roman" w:hAnsi="Times New Roman" w:cs="Times New Roman"/>
          <w:sz w:val="24"/>
          <w:szCs w:val="24"/>
          <w:shd w:val="clear" w:color="auto" w:fill="FFFFFF"/>
        </w:rPr>
        <w:t xml:space="preserve">2. Dodanie do wymagań obowiązku potwierdzenia wytrzymałości konstrukcji wsporczych ( słup, wysięgnik ) w konfiguracji wynikającej z tabeli montażowej przy zachowaniu dodatkowych wymagań jak min. strefa wiatrowa, waga opraw, powierzchnia wiatrowa opraw poprzez przedstawienia obliczeń wytrzymałości ( dokument weryfikowalny ) przy jednoczesnym odrzuceniu takiego dokumentu jako oświadczenia producenta ( dokument nieweryfikowalny </w:t>
      </w:r>
      <w:r w:rsidRPr="00932F71">
        <w:rPr>
          <w:rFonts w:ascii="Times New Roman" w:hAnsi="Times New Roman" w:cs="Times New Roman"/>
          <w:color w:val="666666"/>
          <w:sz w:val="24"/>
          <w:szCs w:val="24"/>
          <w:shd w:val="clear" w:color="auto" w:fill="FFFFFF"/>
        </w:rPr>
        <w:t>).</w:t>
      </w:r>
      <w:r w:rsidRPr="00932F71">
        <w:rPr>
          <w:rFonts w:ascii="Times New Roman" w:hAnsi="Times New Roman" w:cs="Times New Roman"/>
          <w:color w:val="666666"/>
          <w:sz w:val="24"/>
          <w:szCs w:val="24"/>
        </w:rPr>
        <w:br/>
      </w:r>
    </w:p>
    <w:p w:rsidR="00EB1292" w:rsidRPr="00932F71" w:rsidRDefault="00932F71" w:rsidP="00EB1292">
      <w:pPr>
        <w:widowControl w:val="0"/>
        <w:jc w:val="both"/>
        <w:rPr>
          <w:rFonts w:ascii="Times New Roman" w:hAnsi="Times New Roman" w:cs="Times New Roman"/>
          <w:b/>
          <w:bCs/>
          <w:color w:val="000000" w:themeColor="text1"/>
          <w:sz w:val="24"/>
          <w:szCs w:val="24"/>
        </w:rPr>
      </w:pPr>
      <w:r w:rsidRPr="00515417">
        <w:rPr>
          <w:rFonts w:ascii="Times New Roman" w:hAnsi="Times New Roman" w:cs="Times New Roman"/>
          <w:b/>
          <w:bCs/>
          <w:color w:val="000000" w:themeColor="text1"/>
          <w:sz w:val="24"/>
          <w:szCs w:val="24"/>
          <w:highlight w:val="green"/>
        </w:rPr>
        <w:t>Odp. 2.</w:t>
      </w:r>
      <w:r>
        <w:rPr>
          <w:rFonts w:ascii="Times New Roman" w:hAnsi="Times New Roman" w:cs="Times New Roman"/>
          <w:b/>
          <w:bCs/>
          <w:color w:val="000000" w:themeColor="text1"/>
          <w:sz w:val="24"/>
          <w:szCs w:val="24"/>
        </w:rPr>
        <w:t xml:space="preserve"> </w:t>
      </w:r>
      <w:r w:rsidR="00EB1292" w:rsidRPr="00932F71">
        <w:rPr>
          <w:rFonts w:ascii="Times New Roman" w:hAnsi="Times New Roman" w:cs="Times New Roman"/>
          <w:b/>
          <w:bCs/>
          <w:color w:val="000000" w:themeColor="text1"/>
          <w:sz w:val="24"/>
          <w:szCs w:val="24"/>
        </w:rPr>
        <w:t xml:space="preserve">Zamawiający będzie kierował się zapisami zawartymi w pkt. </w:t>
      </w:r>
      <w:r w:rsidR="00EB1292" w:rsidRPr="00932F71">
        <w:rPr>
          <w:rFonts w:ascii="Times New Roman" w:hAnsi="Times New Roman" w:cs="Times New Roman"/>
          <w:b/>
          <w:bCs/>
          <w:color w:val="000000" w:themeColor="text1"/>
          <w:sz w:val="24"/>
          <w:szCs w:val="24"/>
        </w:rPr>
        <w:t>12.7. Wykonanie robót budowlanych</w:t>
      </w:r>
      <w:r w:rsidR="00EB1292" w:rsidRPr="00932F71">
        <w:rPr>
          <w:rFonts w:ascii="Times New Roman" w:hAnsi="Times New Roman" w:cs="Times New Roman"/>
          <w:bCs/>
          <w:color w:val="000000" w:themeColor="text1"/>
          <w:sz w:val="24"/>
          <w:szCs w:val="24"/>
        </w:rPr>
        <w:t>:</w:t>
      </w:r>
      <w:r w:rsidR="00EB1292" w:rsidRPr="00932F71">
        <w:rPr>
          <w:rFonts w:ascii="Times New Roman" w:hAnsi="Times New Roman" w:cs="Times New Roman"/>
          <w:color w:val="000000" w:themeColor="text1"/>
          <w:sz w:val="24"/>
          <w:szCs w:val="24"/>
        </w:rPr>
        <w:t xml:space="preserve"> </w:t>
      </w:r>
      <w:r w:rsidR="00EB1292" w:rsidRPr="00932F71">
        <w:rPr>
          <w:rFonts w:ascii="Times New Roman" w:hAnsi="Times New Roman" w:cs="Times New Roman"/>
          <w:color w:val="000000" w:themeColor="text1"/>
          <w:sz w:val="24"/>
          <w:szCs w:val="24"/>
        </w:rPr>
        <w:t xml:space="preserve">SWZ </w:t>
      </w:r>
      <w:proofErr w:type="spellStart"/>
      <w:r w:rsidR="00EB1292" w:rsidRPr="00932F71">
        <w:rPr>
          <w:rFonts w:ascii="Times New Roman" w:hAnsi="Times New Roman" w:cs="Times New Roman"/>
          <w:color w:val="000000" w:themeColor="text1"/>
          <w:sz w:val="24"/>
          <w:szCs w:val="24"/>
        </w:rPr>
        <w:t>tj</w:t>
      </w:r>
      <w:proofErr w:type="spellEnd"/>
      <w:r w:rsidR="00EB1292" w:rsidRPr="00932F71">
        <w:rPr>
          <w:rFonts w:ascii="Times New Roman" w:hAnsi="Times New Roman" w:cs="Times New Roman"/>
          <w:color w:val="000000" w:themeColor="text1"/>
          <w:sz w:val="24"/>
          <w:szCs w:val="24"/>
        </w:rPr>
        <w:t xml:space="preserve"> .:</w:t>
      </w:r>
    </w:p>
    <w:p w:rsidR="00EB1292" w:rsidRPr="00932F71" w:rsidRDefault="00EB1292" w:rsidP="00EB1292">
      <w:pPr>
        <w:pStyle w:val="Akapitzlist"/>
        <w:widowControl w:val="0"/>
        <w:numPr>
          <w:ilvl w:val="0"/>
          <w:numId w:val="1"/>
        </w:numPr>
        <w:ind w:left="284" w:hanging="284"/>
        <w:jc w:val="both"/>
        <w:rPr>
          <w:color w:val="000000" w:themeColor="text1"/>
        </w:rPr>
      </w:pPr>
      <w:r w:rsidRPr="00932F71">
        <w:rPr>
          <w:color w:val="000000" w:themeColor="text1"/>
        </w:rPr>
        <w:t xml:space="preserve">do wykonania części zamówienia obejmujących roboty budowlane Wykonawca zobowiązany jest użyć materiałów gwarantujących odpowiednią jakość, o parametrach technicznych i jakościowych odpowiadających właściwościom materiałów przyjętych w dokumentacji; </w:t>
      </w:r>
    </w:p>
    <w:p w:rsidR="00EB1292" w:rsidRPr="00932F71" w:rsidRDefault="00EB1292" w:rsidP="00EB1292">
      <w:pPr>
        <w:pStyle w:val="Akapitzlist"/>
        <w:widowControl w:val="0"/>
        <w:numPr>
          <w:ilvl w:val="0"/>
          <w:numId w:val="1"/>
        </w:numPr>
        <w:ind w:left="284" w:hanging="284"/>
        <w:jc w:val="both"/>
        <w:rPr>
          <w:color w:val="000000" w:themeColor="text1"/>
        </w:rPr>
      </w:pPr>
      <w:r w:rsidRPr="00932F71">
        <w:rPr>
          <w:color w:val="000000" w:themeColor="text1"/>
        </w:rPr>
        <w:t xml:space="preserve">Wykonawca odpowiedzialny jest za jakość zastosowanych materiałów za ich zgodność </w:t>
      </w:r>
      <w:r w:rsidRPr="00932F71">
        <w:rPr>
          <w:color w:val="000000" w:themeColor="text1"/>
        </w:rPr>
        <w:br/>
        <w:t xml:space="preserve">z dokumentacją, Wykonawca może zastosować materiały i urządzenia równoważne o parametrach </w:t>
      </w:r>
      <w:proofErr w:type="spellStart"/>
      <w:r w:rsidRPr="00932F71">
        <w:rPr>
          <w:color w:val="000000" w:themeColor="text1"/>
        </w:rPr>
        <w:t>techniczno</w:t>
      </w:r>
      <w:proofErr w:type="spellEnd"/>
      <w:r w:rsidRPr="00932F71">
        <w:rPr>
          <w:color w:val="000000" w:themeColor="text1"/>
        </w:rPr>
        <w:t xml:space="preserve"> - użytkowych odpowiadających co najmniej parametrom materiałów i urządzeń zaproponowanych w dokumentacji;</w:t>
      </w:r>
    </w:p>
    <w:p w:rsidR="00EB1292" w:rsidRPr="00932F71" w:rsidRDefault="00EB1292" w:rsidP="00EB1292">
      <w:pPr>
        <w:pStyle w:val="Akapitzlist"/>
        <w:widowControl w:val="0"/>
        <w:numPr>
          <w:ilvl w:val="0"/>
          <w:numId w:val="1"/>
        </w:numPr>
        <w:ind w:left="284" w:hanging="284"/>
        <w:jc w:val="both"/>
        <w:rPr>
          <w:color w:val="000000" w:themeColor="text1"/>
        </w:rPr>
      </w:pPr>
      <w:r w:rsidRPr="00932F71">
        <w:rPr>
          <w:color w:val="000000" w:themeColor="text1"/>
        </w:rPr>
        <w:t>Zamawiający dopuszcza oferowanie rozwiązań równoważnych. Pod pojęciem równoważności należy rozumieć, iż zagwarantują one realizację zamówienia opisem przedmiotu zamówienia oraz zapewnią uzyskanie parametrów technicznych nie gorszych lub lepszych od założonych w ww. dokumentacji;</w:t>
      </w:r>
    </w:p>
    <w:p w:rsidR="00EB1292" w:rsidRPr="00932F71" w:rsidRDefault="00EB1292" w:rsidP="00EB1292">
      <w:pPr>
        <w:pStyle w:val="Akapitzlist"/>
        <w:widowControl w:val="0"/>
        <w:numPr>
          <w:ilvl w:val="0"/>
          <w:numId w:val="1"/>
        </w:numPr>
        <w:ind w:left="284" w:hanging="284"/>
        <w:jc w:val="both"/>
        <w:rPr>
          <w:color w:val="000000" w:themeColor="text1"/>
        </w:rPr>
      </w:pPr>
      <w:r w:rsidRPr="00932F71">
        <w:rPr>
          <w:color w:val="000000" w:themeColor="text1"/>
          <w:u w:val="single"/>
        </w:rPr>
        <w:t xml:space="preserve">brak złożenia wraz z ofertą </w:t>
      </w:r>
      <w:r w:rsidRPr="00932F71">
        <w:rPr>
          <w:bCs/>
          <w:color w:val="000000" w:themeColor="text1"/>
          <w:u w:val="single"/>
        </w:rPr>
        <w:t>wykazu rozwiązań równoważnych</w:t>
      </w:r>
      <w:r w:rsidRPr="00932F71">
        <w:rPr>
          <w:color w:val="000000" w:themeColor="text1"/>
          <w:u w:val="single"/>
        </w:rPr>
        <w:t xml:space="preserve"> z oświadczeniem Wykonawcy oznacza, że podczas realizowania inwestycji zastosuje materiały i urządzenia zawarte w opisie przedmiotu zamówienia</w:t>
      </w:r>
      <w:r w:rsidRPr="00932F71">
        <w:rPr>
          <w:color w:val="000000" w:themeColor="text1"/>
        </w:rPr>
        <w:t xml:space="preserve">; </w:t>
      </w:r>
    </w:p>
    <w:p w:rsidR="00EB1292" w:rsidRPr="00932F71" w:rsidRDefault="00EB1292" w:rsidP="00EB1292">
      <w:pPr>
        <w:pStyle w:val="Akapitzlist"/>
        <w:widowControl w:val="0"/>
        <w:numPr>
          <w:ilvl w:val="0"/>
          <w:numId w:val="1"/>
        </w:numPr>
        <w:ind w:left="284" w:hanging="284"/>
        <w:jc w:val="both"/>
        <w:rPr>
          <w:color w:val="000000" w:themeColor="text1"/>
        </w:rPr>
      </w:pPr>
      <w:r w:rsidRPr="00932F71">
        <w:rPr>
          <w:color w:val="000000" w:themeColor="text1"/>
        </w:rPr>
        <w:t xml:space="preserve">Wykonawca, który powołuje się na rozwiązania równoważne opisanymi przez </w:t>
      </w:r>
      <w:r w:rsidRPr="00932F71">
        <w:rPr>
          <w:color w:val="000000" w:themeColor="text1"/>
        </w:rPr>
        <w:lastRenderedPageBreak/>
        <w:t>Zamawiającego, jest zobowiązany wykazać, że proponowane przez niego dostawy, usługi lub roboty budowlane spełniają wymagania określone przez Zamawiającego;</w:t>
      </w:r>
    </w:p>
    <w:p w:rsidR="00EB1292" w:rsidRPr="00932F71" w:rsidRDefault="00EB1292" w:rsidP="00EB1292">
      <w:pPr>
        <w:pStyle w:val="Akapitzlist"/>
        <w:widowControl w:val="0"/>
        <w:numPr>
          <w:ilvl w:val="0"/>
          <w:numId w:val="1"/>
        </w:numPr>
        <w:ind w:left="284" w:hanging="284"/>
        <w:jc w:val="both"/>
        <w:rPr>
          <w:color w:val="000000" w:themeColor="text1"/>
        </w:rPr>
      </w:pPr>
      <w:r w:rsidRPr="00932F71">
        <w:rPr>
          <w:color w:val="000000" w:themeColor="text1"/>
        </w:rPr>
        <w:t xml:space="preserve">Zamawiający dopuszcza zaoferowanie rozwiązań równoważnych pod względem: </w:t>
      </w:r>
    </w:p>
    <w:p w:rsidR="00EB1292" w:rsidRPr="00932F71" w:rsidRDefault="00EB1292" w:rsidP="00EB1292">
      <w:pPr>
        <w:pStyle w:val="Akapitzlist"/>
        <w:widowControl w:val="0"/>
        <w:numPr>
          <w:ilvl w:val="0"/>
          <w:numId w:val="2"/>
        </w:numPr>
        <w:ind w:left="567" w:hanging="283"/>
        <w:jc w:val="both"/>
        <w:rPr>
          <w:color w:val="000000" w:themeColor="text1"/>
        </w:rPr>
      </w:pPr>
      <w:r w:rsidRPr="00932F71">
        <w:rPr>
          <w:color w:val="000000" w:themeColor="text1"/>
        </w:rPr>
        <w:t>charakteru użytkowego (tożsamość zastosowania i funkcji),</w:t>
      </w:r>
    </w:p>
    <w:p w:rsidR="00EB1292" w:rsidRPr="00932F71" w:rsidRDefault="00EB1292" w:rsidP="00EB1292">
      <w:pPr>
        <w:pStyle w:val="Akapitzlist"/>
        <w:widowControl w:val="0"/>
        <w:numPr>
          <w:ilvl w:val="0"/>
          <w:numId w:val="2"/>
        </w:numPr>
        <w:ind w:left="567" w:hanging="283"/>
        <w:jc w:val="both"/>
        <w:rPr>
          <w:color w:val="000000" w:themeColor="text1"/>
        </w:rPr>
      </w:pPr>
      <w:r w:rsidRPr="00932F71">
        <w:rPr>
          <w:color w:val="000000" w:themeColor="text1"/>
        </w:rPr>
        <w:t>parametrów dotyczących bezpieczeństwa użytkowania,</w:t>
      </w:r>
    </w:p>
    <w:p w:rsidR="00932F71" w:rsidRDefault="00EB1292" w:rsidP="00932F71">
      <w:pPr>
        <w:pStyle w:val="Akapitzlist"/>
        <w:widowControl w:val="0"/>
        <w:numPr>
          <w:ilvl w:val="0"/>
          <w:numId w:val="2"/>
        </w:numPr>
        <w:ind w:left="567" w:hanging="283"/>
        <w:jc w:val="both"/>
        <w:rPr>
          <w:color w:val="000000" w:themeColor="text1"/>
        </w:rPr>
      </w:pPr>
      <w:r w:rsidRPr="00932F71">
        <w:rPr>
          <w:color w:val="000000" w:themeColor="text1"/>
        </w:rPr>
        <w:t>rozwiązań materiałowych,</w:t>
      </w:r>
    </w:p>
    <w:p w:rsidR="00932F71" w:rsidRDefault="00EB1292" w:rsidP="00932F71">
      <w:pPr>
        <w:pStyle w:val="Akapitzlist"/>
        <w:widowControl w:val="0"/>
        <w:numPr>
          <w:ilvl w:val="0"/>
          <w:numId w:val="2"/>
        </w:numPr>
        <w:ind w:left="567" w:hanging="283"/>
        <w:jc w:val="both"/>
        <w:rPr>
          <w:color w:val="000000" w:themeColor="text1"/>
        </w:rPr>
      </w:pPr>
      <w:r w:rsidRPr="00932F71">
        <w:rPr>
          <w:color w:val="000000" w:themeColor="text1"/>
        </w:rPr>
        <w:t>wymogów dotyczących dopuszczenia do obrotu i stosowania w budownictwie,</w:t>
      </w:r>
    </w:p>
    <w:p w:rsidR="00EB1292" w:rsidRPr="00932F71" w:rsidRDefault="00EB1292" w:rsidP="00932F71">
      <w:pPr>
        <w:pStyle w:val="Akapitzlist"/>
        <w:widowControl w:val="0"/>
        <w:numPr>
          <w:ilvl w:val="0"/>
          <w:numId w:val="2"/>
        </w:numPr>
        <w:ind w:left="567" w:hanging="283"/>
        <w:jc w:val="both"/>
        <w:rPr>
          <w:color w:val="000000" w:themeColor="text1"/>
        </w:rPr>
      </w:pPr>
      <w:r w:rsidRPr="00932F71">
        <w:rPr>
          <w:color w:val="000000" w:themeColor="text1"/>
        </w:rPr>
        <w:t>gwarantujących realizację robót i uzyskanie parametrów technicznych nie gorszych lub lepszych od założonych w w/w dokumentach przetargowych. Wykonawca, który powołuje się na rozwiązania równoważne opisywanym przez Zamawiającego, zobowiązany jest wykazać w ofercie, że oferowane przez niego materiały i rozwiązania spełniają wymagania określone przez Zamawiającego,</w:t>
      </w:r>
    </w:p>
    <w:p w:rsidR="00EB1292" w:rsidRPr="00932F71" w:rsidRDefault="00EB1292" w:rsidP="00EB1292">
      <w:pPr>
        <w:pStyle w:val="Akapitzlist"/>
        <w:widowControl w:val="0"/>
        <w:numPr>
          <w:ilvl w:val="0"/>
          <w:numId w:val="2"/>
        </w:numPr>
        <w:ind w:left="567" w:hanging="283"/>
        <w:jc w:val="both"/>
        <w:rPr>
          <w:color w:val="000000" w:themeColor="text1"/>
        </w:rPr>
      </w:pPr>
      <w:r w:rsidRPr="00932F71">
        <w:rPr>
          <w:color w:val="000000" w:themeColor="text1"/>
        </w:rPr>
        <w:t>innych informacji potwierdzających równoważność proponowanych urządzeń lub rozwiązań;</w:t>
      </w:r>
    </w:p>
    <w:p w:rsidR="00EB1292" w:rsidRPr="00932F71" w:rsidRDefault="00EB1292" w:rsidP="00EB1292">
      <w:pPr>
        <w:pStyle w:val="Akapitzlist"/>
        <w:widowControl w:val="0"/>
        <w:numPr>
          <w:ilvl w:val="0"/>
          <w:numId w:val="1"/>
        </w:numPr>
        <w:ind w:left="284" w:hanging="284"/>
        <w:jc w:val="both"/>
        <w:rPr>
          <w:color w:val="000000" w:themeColor="text1"/>
        </w:rPr>
      </w:pPr>
      <w:r w:rsidRPr="00932F71">
        <w:rPr>
          <w:color w:val="000000" w:themeColor="text1"/>
        </w:rPr>
        <w:t>Wykonawca dobierając inne materiały oraz rozwiązania równoważne do zaproponowanych przez Zamawiającego, bierze na siebie odpowiedzialność za prawidłowe funkcjonowanie przedmiotu umowy. Wykonawca jest odpowiedzialny za jakość zastosowanych materiałów, za montaż i uruchomienie oraz ich zgodność z dokumentacją projektową oraz wymaganiami specyfikacji technicznej;</w:t>
      </w:r>
    </w:p>
    <w:p w:rsidR="00EB1292" w:rsidRPr="00932F71" w:rsidRDefault="00EB1292" w:rsidP="00EB1292">
      <w:pPr>
        <w:pStyle w:val="Akapitzlist"/>
        <w:widowControl w:val="0"/>
        <w:numPr>
          <w:ilvl w:val="0"/>
          <w:numId w:val="1"/>
        </w:numPr>
        <w:ind w:left="284" w:hanging="284"/>
        <w:jc w:val="both"/>
        <w:rPr>
          <w:color w:val="000000" w:themeColor="text1"/>
        </w:rPr>
      </w:pPr>
      <w:r w:rsidRPr="00932F71">
        <w:rPr>
          <w:color w:val="000000" w:themeColor="text1"/>
        </w:rPr>
        <w:t xml:space="preserve">materiały muszą być użyte z asortymentu bieżąco produkowanego i odpowiadać normom </w:t>
      </w:r>
      <w:r w:rsidRPr="00932F71">
        <w:rPr>
          <w:color w:val="000000" w:themeColor="text1"/>
        </w:rPr>
        <w:br/>
        <w:t>i przepisom. Zastosowane materiały muszą posiadać stosowne atesty, aprobaty, deklarację zgodności lub certyfikat właściwości użytkowych, znaki bezpieczeństwa - wymagane obowiązującymi przepisami;</w:t>
      </w:r>
    </w:p>
    <w:p w:rsidR="00EB1292" w:rsidRPr="00932F71" w:rsidRDefault="00EB1292" w:rsidP="00EB1292">
      <w:pPr>
        <w:pStyle w:val="Akapitzlist"/>
        <w:widowControl w:val="0"/>
        <w:numPr>
          <w:ilvl w:val="0"/>
          <w:numId w:val="1"/>
        </w:numPr>
        <w:ind w:left="284" w:hanging="284"/>
        <w:jc w:val="both"/>
        <w:rPr>
          <w:color w:val="000000" w:themeColor="text1"/>
        </w:rPr>
      </w:pPr>
      <w:r w:rsidRPr="00932F71">
        <w:rPr>
          <w:color w:val="000000" w:themeColor="text1"/>
        </w:rPr>
        <w:t>zastosowane materiały muszą posiadać atesty bezpieczeństwa, higieniczne i aprobatę techniczną oraz dopuszczenie do stosowania na terenie Polski. Do wykonania zamówienia Wykonawca zobowiązany jest użyć materiałów nowych, gwarantujących najwyższą jakość o parametrach technicznych i jakościowych nie gorszych niż określone w opisie przedmiotu zamówienia do SWZ odpowiadającym wymaganiom polskiej normy przenoszących normy europejskie lub normy innych państw członkowskich Europejskiego Obszaru Gospodarczego, przenoszących te normy;</w:t>
      </w:r>
    </w:p>
    <w:p w:rsidR="00EB1292" w:rsidRPr="00932F71" w:rsidRDefault="00EB1292" w:rsidP="00EB1292">
      <w:pPr>
        <w:pStyle w:val="Akapitzlist"/>
        <w:widowControl w:val="0"/>
        <w:numPr>
          <w:ilvl w:val="0"/>
          <w:numId w:val="1"/>
        </w:numPr>
        <w:ind w:left="284" w:hanging="284"/>
        <w:jc w:val="both"/>
        <w:rPr>
          <w:color w:val="000000" w:themeColor="text1"/>
        </w:rPr>
      </w:pPr>
      <w:r w:rsidRPr="00932F71">
        <w:rPr>
          <w:color w:val="000000" w:themeColor="text1"/>
        </w:rPr>
        <w:t>Wykonawca zobowiązany jest do naprawienia szkód w środowisku, będących następstwem jego działań, a wynikłych przy realizacji przedmiotu zamówienia. W szczególności zobowiązany jest do podjęcia działań przewidzianych przepisami ustawy z dnia 13 kwietnia 2007 r. o zapobieganiu i szkodom w środowisku i ich naprawie. W razie skierowania przez osoby trzecie roszczeń przeciwko Zamawiającemu, będących następstwem działań Wykonawcy, Wykonawca zobowiązuje się zaspokoić te roszczenia;</w:t>
      </w:r>
    </w:p>
    <w:p w:rsidR="00EB1292" w:rsidRPr="00932F71" w:rsidRDefault="00EB1292" w:rsidP="00EB1292">
      <w:pPr>
        <w:pStyle w:val="Akapitzlist"/>
        <w:widowControl w:val="0"/>
        <w:numPr>
          <w:ilvl w:val="0"/>
          <w:numId w:val="1"/>
        </w:numPr>
        <w:ind w:left="284" w:hanging="284"/>
        <w:jc w:val="both"/>
      </w:pPr>
      <w:r w:rsidRPr="00932F71">
        <w:rPr>
          <w:color w:val="000000" w:themeColor="text1"/>
        </w:rPr>
        <w:t xml:space="preserve">Wykonawca ma obowiązek posiadać w stosunku do użytych materiałów </w:t>
      </w:r>
      <w:r w:rsidRPr="00932F71">
        <w:rPr>
          <w:color w:val="000000" w:themeColor="text1"/>
        </w:rPr>
        <w:br/>
        <w:t xml:space="preserve">i urządzeń dokumenty potwierdzające pozwolenie na zastosowanie/wbudowanie </w:t>
      </w:r>
      <w:r w:rsidRPr="00932F71">
        <w:t>(atesty, certyfikaty, aprobaty techniczne, świadectwa jakości);</w:t>
      </w:r>
    </w:p>
    <w:p w:rsidR="00EB1292" w:rsidRPr="00932F71" w:rsidRDefault="00EB1292" w:rsidP="00EB1292">
      <w:pPr>
        <w:pStyle w:val="Akapitzlist"/>
        <w:widowControl w:val="0"/>
        <w:numPr>
          <w:ilvl w:val="0"/>
          <w:numId w:val="1"/>
        </w:numPr>
        <w:ind w:left="284" w:hanging="284"/>
        <w:jc w:val="both"/>
      </w:pPr>
      <w:r w:rsidRPr="00932F71">
        <w:t xml:space="preserve">Wykonawca wykona i przygotuje oraz złoży w formie spiętej wszelkie dokumenty za wykonany przedmiot zamówienia, a zwłaszcza: </w:t>
      </w:r>
    </w:p>
    <w:p w:rsidR="00EB1292" w:rsidRPr="00932F71" w:rsidRDefault="00EB1292" w:rsidP="00EB1292">
      <w:pPr>
        <w:pStyle w:val="Akapitzlist"/>
        <w:widowControl w:val="0"/>
        <w:numPr>
          <w:ilvl w:val="0"/>
          <w:numId w:val="3"/>
        </w:numPr>
        <w:ind w:left="567" w:hanging="284"/>
        <w:jc w:val="both"/>
      </w:pPr>
      <w:r w:rsidRPr="00932F71">
        <w:t>protokoły z badania materiałów i urządzeń,</w:t>
      </w:r>
    </w:p>
    <w:p w:rsidR="00EB1292" w:rsidRPr="00932F71" w:rsidRDefault="00EB1292" w:rsidP="00EB1292">
      <w:pPr>
        <w:pStyle w:val="Akapitzlist"/>
        <w:widowControl w:val="0"/>
        <w:numPr>
          <w:ilvl w:val="0"/>
          <w:numId w:val="3"/>
        </w:numPr>
        <w:ind w:left="567" w:hanging="284"/>
        <w:jc w:val="both"/>
      </w:pPr>
      <w:r w:rsidRPr="00932F71">
        <w:t xml:space="preserve">dokumenty potwierdzające jakość materiałów i urządzeń użytych do wykonania przedmiotu zamówienia, </w:t>
      </w:r>
    </w:p>
    <w:p w:rsidR="00EB1292" w:rsidRPr="00932F71" w:rsidRDefault="00EB1292" w:rsidP="00EB1292">
      <w:pPr>
        <w:pStyle w:val="Akapitzlist"/>
        <w:widowControl w:val="0"/>
        <w:numPr>
          <w:ilvl w:val="0"/>
          <w:numId w:val="3"/>
        </w:numPr>
        <w:ind w:left="567" w:hanging="284"/>
        <w:jc w:val="both"/>
      </w:pPr>
      <w:r w:rsidRPr="00932F71">
        <w:t>inne dokumenty zgromadzone w trakcie wykonywania przedmiotu zamówienia, a odnoszące się do jego realizacji, zwłaszcza rysunki ze zmianami naniesionymi w trakcie realizacji zadania.</w:t>
      </w:r>
    </w:p>
    <w:p w:rsidR="00EB1292" w:rsidRPr="00932F71" w:rsidRDefault="00EB1292" w:rsidP="00EB1292">
      <w:pPr>
        <w:pStyle w:val="Akapitzlist"/>
        <w:widowControl w:val="0"/>
        <w:ind w:left="567"/>
        <w:jc w:val="both"/>
        <w:rPr>
          <w:rFonts w:eastAsiaTheme="minorHAnsi"/>
          <w:color w:val="000000" w:themeColor="text1"/>
          <w:lang w:eastAsia="en-US"/>
        </w:rPr>
      </w:pPr>
      <w:r w:rsidRPr="00932F71">
        <w:rPr>
          <w:color w:val="000000" w:themeColor="text1"/>
          <w:lang w:eastAsia="en-US"/>
        </w:rPr>
        <w:t xml:space="preserve">Wykonawca zobowiązuje się przedłożyć Zamawiającemu komplet dokumentacji powykonawczej (w formie dokumentowej /w trzech kopiach/ chronologicznie usystematyzowanej oraz elektronicznej na przenośnym nośniku danych). Dokumentacja powykonawcza – zatwierdzona przez nadzór inwestorski stosowną adnotacją - powinna </w:t>
      </w:r>
      <w:r w:rsidRPr="00932F71">
        <w:rPr>
          <w:color w:val="000000" w:themeColor="text1"/>
          <w:lang w:eastAsia="en-US"/>
        </w:rPr>
        <w:lastRenderedPageBreak/>
        <w:t xml:space="preserve">zawierać: </w:t>
      </w:r>
      <w:r w:rsidRPr="00932F71">
        <w:rPr>
          <w:rFonts w:eastAsiaTheme="minorHAnsi"/>
          <w:color w:val="000000" w:themeColor="text1"/>
          <w:lang w:eastAsia="en-US"/>
        </w:rPr>
        <w:t xml:space="preserve">spis treści wszystkich załączonych dokumentów, protokołów, deklaracji zgodności, certyfikatów. Pozostałe warunki dot. dokumentacji powykonawczej znajdują się w projektowanych postanowieniach umownych stanowiących </w:t>
      </w:r>
      <w:r w:rsidRPr="00932F71">
        <w:rPr>
          <w:rFonts w:eastAsiaTheme="minorHAnsi"/>
          <w:color w:val="000000" w:themeColor="text1"/>
          <w:u w:val="single"/>
          <w:lang w:eastAsia="en-US"/>
        </w:rPr>
        <w:t>załącznik nr 7 do SWZ</w:t>
      </w:r>
      <w:r w:rsidRPr="00932F71">
        <w:rPr>
          <w:rFonts w:eastAsiaTheme="minorHAnsi"/>
          <w:color w:val="000000" w:themeColor="text1"/>
          <w:lang w:eastAsia="en-US"/>
        </w:rPr>
        <w:t>;</w:t>
      </w:r>
    </w:p>
    <w:p w:rsidR="00EB1292" w:rsidRPr="00932F71" w:rsidRDefault="00EB1292" w:rsidP="00EB1292">
      <w:pPr>
        <w:pStyle w:val="Akapitzlist"/>
        <w:widowControl w:val="0"/>
        <w:numPr>
          <w:ilvl w:val="0"/>
          <w:numId w:val="1"/>
        </w:numPr>
        <w:ind w:left="284" w:hanging="284"/>
        <w:jc w:val="both"/>
        <w:rPr>
          <w:color w:val="000000" w:themeColor="text1"/>
        </w:rPr>
      </w:pPr>
      <w:r w:rsidRPr="00932F71">
        <w:rPr>
          <w:color w:val="000000" w:themeColor="text1"/>
        </w:rPr>
        <w:t>zabrania się stosowania materiałów nieodpowiadających wymaganiom odpowiednich normy oraz o innych parametrach niż określone w projekcie;</w:t>
      </w:r>
    </w:p>
    <w:p w:rsidR="00EB1292" w:rsidRPr="00932F71" w:rsidRDefault="00EB1292" w:rsidP="00EB1292">
      <w:pPr>
        <w:pStyle w:val="Akapitzlist"/>
        <w:widowControl w:val="0"/>
        <w:numPr>
          <w:ilvl w:val="0"/>
          <w:numId w:val="1"/>
        </w:numPr>
        <w:ind w:left="284" w:hanging="284"/>
        <w:jc w:val="both"/>
        <w:rPr>
          <w:color w:val="000000" w:themeColor="text1"/>
        </w:rPr>
      </w:pPr>
      <w:r w:rsidRPr="00932F71">
        <w:rPr>
          <w:color w:val="000000" w:themeColor="text1"/>
        </w:rPr>
        <w:t xml:space="preserve">w przypadkach, gdy Wykonawca z przyczyn od niego niezależnych, nie jest </w:t>
      </w:r>
      <w:r w:rsidRPr="00932F71">
        <w:rPr>
          <w:color w:val="000000" w:themeColor="text1"/>
        </w:rPr>
        <w:br/>
        <w:t xml:space="preserve">w stanie uzyskać określonego przez Zamawiającego oznakowania lub oznakowania potwierdzającego, że ofertowane przez niego roboty budowlane, dostawy czy usługi spełniają równoważne wymagania, Zamawiający w terminie przez siebie wyznaczonym, akceptuje inne środki dowodowe, a w szczególności dokumentacje techniczną producenta, o ile Wykonawca udowodni że oferowane przez niego roboty budowlane, dostawy lub usługi spełniają wymagania określonego oznakowania lub określone wymagania wskazane przez Zamawiającego; </w:t>
      </w:r>
    </w:p>
    <w:p w:rsidR="00EB1292" w:rsidRPr="00932F71" w:rsidRDefault="00EB1292" w:rsidP="00EB1292">
      <w:pPr>
        <w:pStyle w:val="Akapitzlist"/>
        <w:widowControl w:val="0"/>
        <w:numPr>
          <w:ilvl w:val="0"/>
          <w:numId w:val="1"/>
        </w:numPr>
        <w:ind w:left="284" w:hanging="284"/>
        <w:jc w:val="both"/>
        <w:rPr>
          <w:color w:val="000000" w:themeColor="text1"/>
        </w:rPr>
      </w:pPr>
      <w:r w:rsidRPr="00932F71">
        <w:rPr>
          <w:color w:val="000000" w:themeColor="text1"/>
        </w:rPr>
        <w:t>użycie w SWZ lub załącznikach do niej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w:t>
      </w:r>
      <w:r w:rsidR="00515417">
        <w:rPr>
          <w:color w:val="000000" w:themeColor="text1"/>
        </w:rPr>
        <w:t xml:space="preserve"> </w:t>
      </w:r>
      <w:r w:rsidRPr="00932F71">
        <w:rPr>
          <w:color w:val="000000" w:themeColor="text1"/>
        </w:rPr>
        <w:t>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rsidR="00EB1292" w:rsidRPr="00932F71" w:rsidRDefault="00EB1292" w:rsidP="00EB1292">
      <w:pPr>
        <w:pStyle w:val="Akapitzlist"/>
        <w:widowControl w:val="0"/>
        <w:numPr>
          <w:ilvl w:val="0"/>
          <w:numId w:val="1"/>
        </w:numPr>
        <w:ind w:left="284" w:hanging="284"/>
        <w:jc w:val="both"/>
        <w:rPr>
          <w:color w:val="000000" w:themeColor="text1"/>
        </w:rPr>
      </w:pPr>
      <w:r w:rsidRPr="00932F71">
        <w:rPr>
          <w:color w:val="000000" w:themeColor="text1"/>
        </w:rPr>
        <w:t>w każdym przypadku, gdy Zamawiający opisuje przedmiot zamówienia poprzez odniesienie do norm, europejskich ocen technicznych, aprobat, specyfikacji technicznych i systemów referencji technicznych, dopuszcza rozwiązania równoważne opisywanym;</w:t>
      </w:r>
    </w:p>
    <w:p w:rsidR="00EB1292" w:rsidRPr="00932F71" w:rsidRDefault="00EB1292" w:rsidP="00EB1292">
      <w:pPr>
        <w:pStyle w:val="Akapitzlist"/>
        <w:widowControl w:val="0"/>
        <w:numPr>
          <w:ilvl w:val="0"/>
          <w:numId w:val="1"/>
        </w:numPr>
        <w:ind w:left="284" w:hanging="284"/>
        <w:jc w:val="both"/>
        <w:rPr>
          <w:color w:val="000000" w:themeColor="text1"/>
        </w:rPr>
      </w:pPr>
      <w:r w:rsidRPr="00932F71">
        <w:rPr>
          <w:color w:val="000000" w:themeColor="text1"/>
        </w:rPr>
        <w:t xml:space="preserve">do wykonania przedmiotu umowy wykonawca zobowiązany jest używać wyłącznie materiałów fabrycznie nowych, odpowiadających wymaganiom wynikającym z przepisów prawa, zgodnych z przepisami o badaniach i certyfikacji, dopuszczonych do stosowania na podstawie przepisów w sprawie aprobat i kryteriów technicznych oraz jednostkowego stosowania wyrobów budowlanych oraz na podstawie przepisów dotyczących systemów oceny zgodności, wzoru deklaracji zgodności </w:t>
      </w:r>
      <w:r w:rsidRPr="00932F71">
        <w:t>lub certyfikatu</w:t>
      </w:r>
      <w:r w:rsidRPr="00932F71">
        <w:rPr>
          <w:color w:val="000000" w:themeColor="text1"/>
        </w:rPr>
        <w:t xml:space="preserve"> oraz sposobu znakowania wyrobów budowlanych dopuszczonych do obrotu i powszechnego stosowania w budownictwie, a także zgodnych  z normami przedmiotowymi;</w:t>
      </w:r>
    </w:p>
    <w:p w:rsidR="00EB1292" w:rsidRPr="00932F71" w:rsidRDefault="00EB1292" w:rsidP="00EB1292">
      <w:pPr>
        <w:pStyle w:val="Akapitzlist"/>
        <w:widowControl w:val="0"/>
        <w:numPr>
          <w:ilvl w:val="0"/>
          <w:numId w:val="1"/>
        </w:numPr>
        <w:ind w:left="284" w:hanging="284"/>
        <w:jc w:val="both"/>
        <w:rPr>
          <w:color w:val="000000" w:themeColor="text1"/>
        </w:rPr>
      </w:pPr>
      <w:r w:rsidRPr="00932F71">
        <w:rPr>
          <w:color w:val="000000" w:themeColor="text1"/>
        </w:rPr>
        <w:t xml:space="preserve">Wykonawca zabezpieczy składowane tymczasowo na terenu budowy materiały </w:t>
      </w:r>
      <w:r w:rsidRPr="00932F71">
        <w:rPr>
          <w:color w:val="000000" w:themeColor="text1"/>
        </w:rPr>
        <w:br/>
        <w:t>i urządzenia - do czasu ich wbudowania - przed zniszczeniem, uszkodzeniem albo utratą jakości, właściwości lub parametrów, oraz udostępni do kontroli przez Inspektora nadzoru.</w:t>
      </w:r>
    </w:p>
    <w:p w:rsidR="00EB1292" w:rsidRPr="00932F71" w:rsidRDefault="00EB1292">
      <w:pPr>
        <w:rPr>
          <w:rFonts w:ascii="Times New Roman" w:hAnsi="Times New Roman" w:cs="Times New Roman"/>
          <w:color w:val="666666"/>
          <w:sz w:val="24"/>
          <w:szCs w:val="24"/>
          <w:shd w:val="clear" w:color="auto" w:fill="FFFFFF"/>
        </w:rPr>
      </w:pPr>
    </w:p>
    <w:p w:rsidR="00EB1292" w:rsidRPr="00515417" w:rsidRDefault="00515417">
      <w:pPr>
        <w:rPr>
          <w:rFonts w:ascii="Times New Roman" w:hAnsi="Times New Roman" w:cs="Times New Roman"/>
          <w:b/>
          <w:sz w:val="24"/>
          <w:szCs w:val="24"/>
          <w:shd w:val="clear" w:color="auto" w:fill="FFFFFF"/>
        </w:rPr>
      </w:pPr>
      <w:r w:rsidRPr="00515417">
        <w:rPr>
          <w:rFonts w:ascii="Times New Roman" w:hAnsi="Times New Roman" w:cs="Times New Roman"/>
          <w:b/>
          <w:sz w:val="24"/>
          <w:szCs w:val="24"/>
          <w:highlight w:val="green"/>
          <w:shd w:val="clear" w:color="auto" w:fill="FFFFFF"/>
        </w:rPr>
        <w:t xml:space="preserve">Odp. </w:t>
      </w:r>
      <w:r w:rsidR="00672BDF" w:rsidRPr="00515417">
        <w:rPr>
          <w:rFonts w:ascii="Times New Roman" w:hAnsi="Times New Roman" w:cs="Times New Roman"/>
          <w:b/>
          <w:sz w:val="24"/>
          <w:szCs w:val="24"/>
          <w:highlight w:val="green"/>
          <w:shd w:val="clear" w:color="auto" w:fill="FFFFFF"/>
        </w:rPr>
        <w:t>3.</w:t>
      </w:r>
      <w:r w:rsidR="00672BDF" w:rsidRPr="00515417">
        <w:rPr>
          <w:rFonts w:ascii="Times New Roman" w:hAnsi="Times New Roman" w:cs="Times New Roman"/>
          <w:b/>
          <w:sz w:val="24"/>
          <w:szCs w:val="24"/>
          <w:shd w:val="clear" w:color="auto" w:fill="FFFFFF"/>
        </w:rPr>
        <w:t xml:space="preserve"> Rozważenia wymagania stawianego tj. II strefa wiatrowa jako nieadekwatnego do miejsca inwestycji.</w:t>
      </w:r>
    </w:p>
    <w:p w:rsidR="00EB1292" w:rsidRPr="00932F71" w:rsidRDefault="00EB1292" w:rsidP="00EB1292">
      <w:pPr>
        <w:pStyle w:val="Zwykytekst"/>
        <w:rPr>
          <w:rFonts w:ascii="Times New Roman" w:hAnsi="Times New Roman" w:cs="Times New Roman"/>
          <w:sz w:val="24"/>
          <w:szCs w:val="24"/>
        </w:rPr>
      </w:pPr>
      <w:r w:rsidRPr="00932F71">
        <w:rPr>
          <w:rFonts w:ascii="Times New Roman" w:hAnsi="Times New Roman" w:cs="Times New Roman"/>
          <w:sz w:val="24"/>
          <w:szCs w:val="24"/>
        </w:rPr>
        <w:t>W dokumentacji projektowej przyjęto rozwiązania zgodnie z lokalizacją inwestycji dla II strefy wiatrowej.</w:t>
      </w:r>
      <w:r w:rsidRPr="00932F71">
        <w:rPr>
          <w:rFonts w:ascii="Times New Roman" w:hAnsi="Times New Roman" w:cs="Times New Roman"/>
          <w:sz w:val="24"/>
          <w:szCs w:val="24"/>
        </w:rPr>
        <w:t xml:space="preserve"> </w:t>
      </w:r>
      <w:r w:rsidRPr="00932F71">
        <w:rPr>
          <w:rFonts w:ascii="Times New Roman" w:hAnsi="Times New Roman" w:cs="Times New Roman"/>
          <w:sz w:val="24"/>
          <w:szCs w:val="24"/>
        </w:rPr>
        <w:t>Zgodnie z zapisami w dokumentacji dopuszcza się stosowanie rozwiązań równoważnych o parametrach określonych w dokumentacji dla lokalizacji w II strefie wiatrowej.</w:t>
      </w:r>
    </w:p>
    <w:p w:rsidR="00EB1292" w:rsidRPr="00932F71" w:rsidRDefault="00EB1292">
      <w:pPr>
        <w:rPr>
          <w:rFonts w:ascii="Times New Roman" w:hAnsi="Times New Roman" w:cs="Times New Roman"/>
          <w:sz w:val="24"/>
          <w:szCs w:val="24"/>
        </w:rPr>
      </w:pPr>
    </w:p>
    <w:sectPr w:rsidR="00EB1292" w:rsidRPr="00932F71" w:rsidSect="00515417">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32C19"/>
    <w:multiLevelType w:val="hybridMultilevel"/>
    <w:tmpl w:val="DEB0A6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EA4A7C"/>
    <w:multiLevelType w:val="hybridMultilevel"/>
    <w:tmpl w:val="9D94B9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70374FF"/>
    <w:multiLevelType w:val="hybridMultilevel"/>
    <w:tmpl w:val="BB145C92"/>
    <w:lvl w:ilvl="0" w:tplc="26DC3D3E">
      <w:start w:val="1"/>
      <w:numFmt w:val="decimal"/>
      <w:lvlText w:val="%1)"/>
      <w:lvlJc w:val="left"/>
      <w:pPr>
        <w:ind w:left="770" w:hanging="410"/>
      </w:pPr>
      <w:rPr>
        <w:rFonts w:hint="default"/>
      </w:rPr>
    </w:lvl>
    <w:lvl w:ilvl="1" w:tplc="DA2087C8">
      <w:start w:val="1"/>
      <w:numFmt w:val="lowerLetter"/>
      <w:lvlText w:val="%2)"/>
      <w:lvlJc w:val="left"/>
      <w:pPr>
        <w:ind w:left="1460" w:hanging="3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C9"/>
    <w:rsid w:val="00423AED"/>
    <w:rsid w:val="00515417"/>
    <w:rsid w:val="00672BDF"/>
    <w:rsid w:val="00831C17"/>
    <w:rsid w:val="00932F71"/>
    <w:rsid w:val="00957362"/>
    <w:rsid w:val="00D70E01"/>
    <w:rsid w:val="00EB1292"/>
    <w:rsid w:val="00F14F75"/>
    <w:rsid w:val="00FB36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6193C-8A88-48DE-8DFF-F7EE85AD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semiHidden/>
    <w:unhideWhenUsed/>
    <w:rsid w:val="00EB1292"/>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EB1292"/>
    <w:rPr>
      <w:rFonts w:ascii="Calibri" w:hAnsi="Calibri"/>
      <w:szCs w:val="21"/>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
    <w:basedOn w:val="Normalny"/>
    <w:link w:val="AkapitzlistZnak"/>
    <w:uiPriority w:val="34"/>
    <w:qFormat/>
    <w:rsid w:val="00EB1292"/>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EB129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1410</Words>
  <Characters>8461</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Rogal</dc:creator>
  <cp:keywords/>
  <dc:description/>
  <cp:lastModifiedBy>Paweł Rogal</cp:lastModifiedBy>
  <cp:revision>6</cp:revision>
  <dcterms:created xsi:type="dcterms:W3CDTF">2023-12-28T12:11:00Z</dcterms:created>
  <dcterms:modified xsi:type="dcterms:W3CDTF">2024-01-02T10:50:00Z</dcterms:modified>
</cp:coreProperties>
</file>