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BA5E63">
        <w:rPr>
          <w:b/>
          <w:sz w:val="24"/>
          <w:szCs w:val="24"/>
        </w:rPr>
        <w:t>20.05.</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ZP/220/35</w:t>
      </w:r>
      <w:r w:rsidR="00F66694" w:rsidRPr="00F66694">
        <w:rPr>
          <w:rFonts w:cstheme="minorHAnsi"/>
          <w:b/>
          <w:sz w:val="24"/>
          <w:szCs w:val="24"/>
        </w:rPr>
        <w:t xml:space="preserve">/24                            </w:t>
      </w:r>
    </w:p>
    <w:p w:rsidR="009719E5" w:rsidRDefault="00F66694" w:rsidP="00F66694">
      <w:pPr>
        <w:spacing w:after="0" w:line="240" w:lineRule="auto"/>
        <w:ind w:left="426"/>
        <w:rPr>
          <w:rFonts w:asciiTheme="minorHAnsi" w:eastAsiaTheme="minorHAnsi" w:hAnsiTheme="minorHAnsi" w:cs="Times New Roman"/>
          <w:b/>
          <w:color w:val="auto"/>
        </w:rPr>
      </w:pPr>
      <w:r w:rsidRPr="00F66694">
        <w:rPr>
          <w:rFonts w:cstheme="minorHAnsi"/>
          <w:b/>
          <w:sz w:val="24"/>
          <w:szCs w:val="24"/>
        </w:rPr>
        <w:t xml:space="preserve">Dotyczy: dostawy </w:t>
      </w:r>
      <w:r w:rsidR="00BA5E63" w:rsidRPr="00BA5E63">
        <w:rPr>
          <w:rFonts w:cstheme="minorHAnsi"/>
          <w:b/>
          <w:sz w:val="24"/>
          <w:szCs w:val="24"/>
        </w:rPr>
        <w:t>płynów infuzyjnych oraz koncentratów do dializy na potrzeby Klinik USK-2.</w:t>
      </w:r>
      <w:r w:rsidRPr="00F66694">
        <w:rPr>
          <w:rFonts w:cstheme="minorHAnsi"/>
          <w:b/>
          <w:sz w:val="24"/>
          <w:szCs w:val="24"/>
        </w:rPr>
        <w:t>.</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r w:rsidR="001107B7">
        <w:rPr>
          <w:rFonts w:ascii="Times New Roman" w:eastAsiaTheme="minorHAnsi" w:hAnsi="Times New Roman" w:cs="Times New Roman"/>
          <w:b/>
          <w:color w:val="auto"/>
          <w:lang w:eastAsia="en-US"/>
        </w:rPr>
        <w:t xml:space="preserve">  </w:t>
      </w:r>
    </w:p>
    <w:p w:rsidR="00BF03B2"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BA5E63" w:rsidRDefault="00BA5E63" w:rsidP="00BA5E63">
      <w:pPr>
        <w:spacing w:line="276" w:lineRule="auto"/>
        <w:ind w:left="426"/>
        <w:jc w:val="both"/>
        <w:rPr>
          <w:rFonts w:ascii="Times New Roman" w:eastAsia="Times New Roman" w:hAnsi="Times New Roman" w:cs="Times New Roman"/>
          <w:color w:val="auto"/>
        </w:rPr>
      </w:pPr>
      <w:r>
        <w:t xml:space="preserve">1. Czy w celu miarkowania kar umownych Zamawiający dokona modyfikacji postanowień projektu przyszłej umowy w zakresie zapisów § 10 ust. 1: </w:t>
      </w:r>
    </w:p>
    <w:p w:rsidR="00BA5E63" w:rsidRDefault="00BA5E63" w:rsidP="00BA5E63">
      <w:pPr>
        <w:spacing w:line="276" w:lineRule="auto"/>
        <w:ind w:left="708"/>
        <w:jc w:val="both"/>
      </w:pPr>
      <w:r>
        <w:t>1. W razie niewykonania lub nienależytego wykonania umowy przez Wykonawcy, Zamawiającemu przysługują kary umowne w następującej wysokości:</w:t>
      </w:r>
    </w:p>
    <w:p w:rsidR="00BA5E63" w:rsidRDefault="00BA5E63" w:rsidP="00BA5E63">
      <w:pPr>
        <w:spacing w:line="276" w:lineRule="auto"/>
        <w:ind w:left="708"/>
        <w:jc w:val="both"/>
      </w:pPr>
      <w:r>
        <w:t xml:space="preserve">a) w przypadku zwłoki w dostarczeniu Zamawiającemu zamówionej </w:t>
      </w:r>
      <w:r>
        <w:rPr>
          <w:b/>
          <w:bCs/>
          <w:u w:val="single"/>
        </w:rPr>
        <w:t xml:space="preserve">a niedostarczonej </w:t>
      </w:r>
      <w:r>
        <w:t xml:space="preserve">partii leków - w wysokości 0,5 % wartości brutto zamówionej partii leków  za każdy dzień zwłoki, z tym, że nie mniej niż 50 zł za każdy dzień zwłoki </w:t>
      </w:r>
      <w:r>
        <w:rPr>
          <w:b/>
          <w:bCs/>
          <w:u w:val="single"/>
        </w:rPr>
        <w:t>oraz nie więcej niż 10% wartości brutto zamówionej, a niedostarczonej partii leków,</w:t>
      </w:r>
    </w:p>
    <w:p w:rsidR="00BA5E63" w:rsidRDefault="00BA5E63" w:rsidP="00BA5E63">
      <w:pPr>
        <w:spacing w:line="276" w:lineRule="auto"/>
        <w:ind w:left="708"/>
        <w:jc w:val="both"/>
      </w:pPr>
      <w:r>
        <w:t xml:space="preserve">b) zwłoki w dostarczeniu leków wolnych od wad - w wysokości 0,5 %  wartości brutto zareklamowanej partii leków za każdy dzień zwłoki, jednak nie mniej niż 50 zł za każdy dzień zwłoki, </w:t>
      </w:r>
      <w:r>
        <w:rPr>
          <w:b/>
          <w:bCs/>
          <w:u w:val="single"/>
        </w:rPr>
        <w:t>oraz nie więcej niż 10% wartości brutto zareklamowanej partii leków</w:t>
      </w:r>
    </w:p>
    <w:p w:rsidR="00BA5E63" w:rsidRDefault="00BA5E63" w:rsidP="00BA5E63">
      <w:pPr>
        <w:spacing w:line="276" w:lineRule="auto"/>
        <w:ind w:left="708"/>
        <w:jc w:val="both"/>
        <w:rPr>
          <w:b/>
          <w:bCs/>
          <w:u w:val="single"/>
        </w:rPr>
      </w:pPr>
      <w:r>
        <w:t xml:space="preserve">c) w przypadku nieprzekazania Zamawiającemu  w terminie określonym w § 3 ust 2 umowy  dokumentów  dopuszczających leki do obrotu - w wysokości  20 zł za każdy dzień zwłoki, </w:t>
      </w:r>
      <w:r>
        <w:rPr>
          <w:b/>
          <w:bCs/>
          <w:u w:val="single"/>
        </w:rPr>
        <w:t>jednak nie więcej niż 10% wartości brutto towaru, którego dotyczą niedostarczone dokumenty</w:t>
      </w:r>
    </w:p>
    <w:p w:rsidR="00BA5E63" w:rsidRDefault="00BA5E63" w:rsidP="00BA5E63">
      <w:pPr>
        <w:spacing w:line="276" w:lineRule="auto"/>
        <w:ind w:left="708"/>
        <w:jc w:val="both"/>
      </w:pPr>
      <w:r>
        <w:t xml:space="preserve">d) w przypadku odstąpienia przez Zamawiającego od umowy  w całości bądź w zakresie danego zadania z przyczyn, leżących po stronie  Wykonawcy bądź wypowiedzenia umowy  przez Zamawiającego  z przyczyn leżących po stronie Wykonawcy (§20  umowy)  –w wysokości 10% wartości brutto </w:t>
      </w:r>
      <w:r>
        <w:rPr>
          <w:b/>
          <w:bCs/>
          <w:u w:val="single"/>
        </w:rPr>
        <w:t>niezrealizowanej części</w:t>
      </w:r>
      <w:r>
        <w:t xml:space="preserve"> umowy określonej w § 7 umowy, bądź wartości danego zadania  określonego w Formularzu cen jednostkowych.</w:t>
      </w:r>
    </w:p>
    <w:p w:rsidR="005546E5" w:rsidRPr="00161435" w:rsidRDefault="005546E5" w:rsidP="005546E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4F6470">
        <w:rPr>
          <w:rFonts w:ascii="Times New Roman" w:eastAsiaTheme="minorEastAsia" w:hAnsi="Times New Roman" w:cs="Times New Roman"/>
          <w:b/>
          <w:i/>
          <w:iCs/>
        </w:rPr>
        <w:t xml:space="preserve">Zamawiający </w:t>
      </w:r>
      <w:r w:rsidR="004F6470" w:rsidRPr="004F6470">
        <w:rPr>
          <w:rFonts w:ascii="Times New Roman" w:eastAsiaTheme="minorEastAsia" w:hAnsi="Times New Roman" w:cs="Times New Roman"/>
          <w:b/>
          <w:i/>
          <w:iCs/>
          <w:u w:val="single"/>
        </w:rPr>
        <w:t>nie wyraża zgod</w:t>
      </w:r>
      <w:r w:rsidR="004F6470">
        <w:rPr>
          <w:rFonts w:ascii="Times New Roman" w:eastAsiaTheme="minorEastAsia" w:hAnsi="Times New Roman" w:cs="Times New Roman"/>
          <w:b/>
          <w:i/>
          <w:iCs/>
          <w:u w:val="single"/>
        </w:rPr>
        <w:t>y</w:t>
      </w:r>
      <w:r w:rsidR="004F6470">
        <w:rPr>
          <w:rFonts w:ascii="Times New Roman" w:eastAsiaTheme="minorEastAsia" w:hAnsi="Times New Roman" w:cs="Times New Roman"/>
          <w:b/>
          <w:i/>
          <w:iCs/>
        </w:rPr>
        <w:t xml:space="preserve"> na zmiany w zapisach dotyczących kar umownych.</w:t>
      </w:r>
    </w:p>
    <w:p w:rsidR="00535262" w:rsidRPr="002B42E8" w:rsidRDefault="00535262" w:rsidP="002B42E8">
      <w:pPr>
        <w:autoSpaceDE w:val="0"/>
        <w:autoSpaceDN w:val="0"/>
        <w:adjustRightInd w:val="0"/>
        <w:spacing w:after="0" w:line="240" w:lineRule="auto"/>
        <w:ind w:left="426"/>
        <w:rPr>
          <w:rFonts w:eastAsiaTheme="minorEastAsia"/>
        </w:rPr>
      </w:pPr>
    </w:p>
    <w:p w:rsidR="002B42E8" w:rsidRPr="002B42E8" w:rsidRDefault="002B42E8" w:rsidP="002B42E8">
      <w:pPr>
        <w:autoSpaceDE w:val="0"/>
        <w:autoSpaceDN w:val="0"/>
        <w:adjustRightInd w:val="0"/>
        <w:spacing w:after="0" w:line="240" w:lineRule="auto"/>
        <w:ind w:left="426"/>
        <w:rPr>
          <w:rFonts w:eastAsiaTheme="minorEastAsia"/>
        </w:rPr>
      </w:pPr>
    </w:p>
    <w:p w:rsidR="00053104" w:rsidRDefault="002B42E8" w:rsidP="00BA5E63">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p>
    <w:p w:rsidR="00BA5E63" w:rsidRDefault="00BA5E63" w:rsidP="00BA5E63">
      <w:pPr>
        <w:pStyle w:val="Akapitzlist"/>
        <w:autoSpaceDE w:val="0"/>
        <w:autoSpaceDN w:val="0"/>
        <w:adjustRightInd w:val="0"/>
        <w:spacing w:after="0" w:line="240" w:lineRule="auto"/>
        <w:ind w:left="426" w:hanging="283"/>
        <w:rPr>
          <w:rFonts w:eastAsiaTheme="minorEastAsia"/>
        </w:rPr>
      </w:pPr>
    </w:p>
    <w:p w:rsidR="00BA5E63" w:rsidRDefault="00BA5E63" w:rsidP="00BA5E63">
      <w:pPr>
        <w:pStyle w:val="Akapitzlist"/>
        <w:autoSpaceDE w:val="0"/>
        <w:autoSpaceDN w:val="0"/>
        <w:adjustRightInd w:val="0"/>
        <w:spacing w:after="0" w:line="240" w:lineRule="auto"/>
        <w:ind w:left="426" w:hanging="283"/>
        <w:rPr>
          <w:rFonts w:eastAsiaTheme="minorEastAsia"/>
        </w:rPr>
      </w:pPr>
    </w:p>
    <w:p w:rsidR="00BA5E63" w:rsidRDefault="00BA5E63" w:rsidP="00BA5E63">
      <w:pPr>
        <w:pStyle w:val="Akapitzlist"/>
        <w:autoSpaceDE w:val="0"/>
        <w:autoSpaceDN w:val="0"/>
        <w:adjustRightInd w:val="0"/>
        <w:spacing w:after="0" w:line="240" w:lineRule="auto"/>
        <w:ind w:left="426" w:hanging="283"/>
        <w:rPr>
          <w:rFonts w:ascii="Times New Roman" w:eastAsiaTheme="minorHAnsi" w:hAnsi="Times New Roman" w:cs="Times New Roman"/>
          <w:b/>
          <w:color w:val="auto"/>
          <w:highlight w:val="yellow"/>
          <w:lang w:eastAsia="en-US"/>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Pr="00161435" w:rsidRDefault="00053104"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2</w:t>
      </w:r>
      <w:r w:rsidR="001107B7">
        <w:rPr>
          <w:rFonts w:ascii="Times New Roman" w:eastAsiaTheme="minorHAnsi" w:hAnsi="Times New Roman" w:cs="Times New Roman"/>
          <w:b/>
          <w:color w:val="auto"/>
          <w:lang w:eastAsia="en-US"/>
        </w:rPr>
        <w:t xml:space="preserve"> </w:t>
      </w:r>
    </w:p>
    <w:p w:rsidR="00053104" w:rsidRDefault="00053104"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Pytania do wzoru umowy:</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1. Do §10 ust. 1 lit. a) i b) wzoru umowy: Czy Zamawiający wyrazi zgodę na zmianę postanowień §10 ust.</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1 lit. a) i b) wzoru umowy w taki sposób, aby kara umowna zastrzeżona na wypadek opóźnienia w</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realizacji zamówienia lub reklamacji była wyłącznie proporcjonalna do wartości pozycji (części)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zamówienia zrealizowanej z opóźnieniem - bez minimalnej, sztywnej kary, tj. 50,00 zł - i wynosiła 0,5% od</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wartości tej pozycji (części), za każdy dzień opóźnienia? Wskazujemy przy tym, że wysokość ww. kar</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umownych możliwych do naliczenia przez Zamawiającego (zawsze minimum 50,00 zł) nie zostaje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uzależniona ani od realnej wartości niezrealizowanej terminowo pozycji zamówienia, czy od poniesionej</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przez Zamawiającego szkody, ani też od żadnych innych obiektywnych czynników. W konsekwencji, taki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sposób naliczania budzi zastrzeżenia wykonawcy z uwagi na fakt, iż może być on dotknięty sankcją</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nieważności na podstawie art. 353¹ Kodeksu cywilnego - ze względu na sprzeczność z naturą stosunku</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zobowiązaniowego. Reasumując, ww. sankcje wynikające z proponowanej treści umowy nie spełniają</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zasadniczego celu, dla którego są wprowadzane i uwzględniają jedynie represyjną funkcję kary umownej.</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Mając na uwadze powyższe, wykonawca wnosi o zmianę wspomnianego zapisu, aby był on zgodny z</w:t>
      </w:r>
    </w:p>
    <w:p w:rsid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reżimem prawa cywilnego.</w:t>
      </w:r>
    </w:p>
    <w:p w:rsidR="00871BA9" w:rsidRDefault="00871BA9" w:rsidP="00871BA9">
      <w:pPr>
        <w:autoSpaceDE w:val="0"/>
        <w:autoSpaceDN w:val="0"/>
        <w:adjustRightInd w:val="0"/>
        <w:spacing w:after="0" w:line="240" w:lineRule="auto"/>
        <w:rPr>
          <w:rFonts w:ascii="DejaVuSansCondensed" w:eastAsiaTheme="minorEastAsia" w:hAnsi="DejaVuSansCondensed" w:cs="DejaVuSansCondensed"/>
          <w:color w:val="666666"/>
          <w:sz w:val="20"/>
          <w:szCs w:val="20"/>
        </w:rPr>
      </w:pP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A7A85">
        <w:rPr>
          <w:rFonts w:ascii="Times New Roman" w:eastAsiaTheme="minorEastAsia" w:hAnsi="Times New Roman" w:cs="Times New Roman"/>
          <w:b/>
          <w:i/>
          <w:iCs/>
        </w:rPr>
        <w:t xml:space="preserve">Zamawiający </w:t>
      </w:r>
      <w:r w:rsidR="00DA7A85" w:rsidRPr="004F6470">
        <w:rPr>
          <w:rFonts w:ascii="Times New Roman" w:eastAsiaTheme="minorEastAsia" w:hAnsi="Times New Roman" w:cs="Times New Roman"/>
          <w:b/>
          <w:i/>
          <w:iCs/>
          <w:u w:val="single"/>
        </w:rPr>
        <w:t>nie wyraża zgod</w:t>
      </w:r>
      <w:r w:rsidR="00DA7A85">
        <w:rPr>
          <w:rFonts w:ascii="Times New Roman" w:eastAsiaTheme="minorEastAsia" w:hAnsi="Times New Roman" w:cs="Times New Roman"/>
          <w:b/>
          <w:i/>
          <w:iCs/>
          <w:u w:val="single"/>
        </w:rPr>
        <w:t>y</w:t>
      </w:r>
      <w:r w:rsidR="00DA7A85">
        <w:rPr>
          <w:rFonts w:ascii="Times New Roman" w:eastAsiaTheme="minorEastAsia" w:hAnsi="Times New Roman" w:cs="Times New Roman"/>
          <w:b/>
          <w:i/>
          <w:iCs/>
        </w:rPr>
        <w:t xml:space="preserve"> na zmiany w zapisach dotyczących kar umownych.</w:t>
      </w:r>
    </w:p>
    <w:p w:rsidR="00871BA9" w:rsidRPr="00871BA9" w:rsidRDefault="00871BA9" w:rsidP="00871BA9">
      <w:pPr>
        <w:autoSpaceDE w:val="0"/>
        <w:autoSpaceDN w:val="0"/>
        <w:adjustRightInd w:val="0"/>
        <w:spacing w:after="0" w:line="240" w:lineRule="auto"/>
        <w:rPr>
          <w:rFonts w:ascii="DejaVuSansCondensed" w:eastAsiaTheme="minorEastAsia" w:hAnsi="DejaVuSansCondensed" w:cs="DejaVuSansCondensed"/>
          <w:color w:val="666666"/>
          <w:sz w:val="20"/>
          <w:szCs w:val="20"/>
        </w:rPr>
      </w:pP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2. Do §10 ust. 1 lit. d) wzoru umowy: Czy Zamawiający wyrazi zgodę na zmianę sposobu obliczania kary</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umownej zastrzeżonej §10 ust. 1 lit. d) wzoru umowy w taki sposób, aby wynosiła ona 10% wartości</w:t>
      </w:r>
    </w:p>
    <w:p w:rsid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niezrealizowanej części umowy?</w:t>
      </w:r>
    </w:p>
    <w:p w:rsid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A7A85">
        <w:rPr>
          <w:rFonts w:ascii="Times New Roman" w:eastAsiaTheme="minorEastAsia" w:hAnsi="Times New Roman" w:cs="Times New Roman"/>
          <w:b/>
          <w:i/>
          <w:iCs/>
        </w:rPr>
        <w:t xml:space="preserve">Zamawiający </w:t>
      </w:r>
      <w:r w:rsidR="00DA7A85" w:rsidRPr="004F6470">
        <w:rPr>
          <w:rFonts w:ascii="Times New Roman" w:eastAsiaTheme="minorEastAsia" w:hAnsi="Times New Roman" w:cs="Times New Roman"/>
          <w:b/>
          <w:i/>
          <w:iCs/>
          <w:u w:val="single"/>
        </w:rPr>
        <w:t>nie wyraża zgod</w:t>
      </w:r>
      <w:r w:rsidR="00DA7A85">
        <w:rPr>
          <w:rFonts w:ascii="Times New Roman" w:eastAsiaTheme="minorEastAsia" w:hAnsi="Times New Roman" w:cs="Times New Roman"/>
          <w:b/>
          <w:i/>
          <w:iCs/>
          <w:u w:val="single"/>
        </w:rPr>
        <w:t>y</w:t>
      </w:r>
      <w:r w:rsidR="00DA7A85">
        <w:rPr>
          <w:rFonts w:ascii="Times New Roman" w:eastAsiaTheme="minorEastAsia" w:hAnsi="Times New Roman" w:cs="Times New Roman"/>
          <w:b/>
          <w:i/>
          <w:iCs/>
        </w:rPr>
        <w:t xml:space="preserve"> na zmiany w zapisach dotyczących kar umownych.</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3. Do §14 ust. 1, 2 wzoru umowy: Prosimy o skonkretyzowanie granicznych wartości dla poszczególnych</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pozycji asortymentowych, jakie Zamawiający zamierza zrealizować, np. poprzez podanie, że zmiany ilości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produktów określonych w formularzu asortymentowo – cenowym mogą ulec zmniejszeniu lub zwiększeniu</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 granicach +/- 20%, przy czym przez takie sformułowanie Zamawiający będzie rozumiał możliwość</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zamówienia o 20% mniejszych lub o 20% większych ilości, każdego z zamówionych asortymentów.</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Aktualna treść §15 ust. 1, 2 wzoru umowy jest na tyle ogólna i nieprecyzyjna, że na jej podstawie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wykonawcy nie są w stanie określić faktycznej wielkości przedmiotu zamówienia w zakresie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poszczególnych pozycji asortymentowych oraz nie są w stanie dokonać prawidłowej kalkulacji cen na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potrzeby składanej oferty.</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 wyroku z dnia 17 listopada 2023 roku (sygn. akt: KIO 3212/23) Krajowa Izba Odwoławcza uwzględniła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 xml:space="preserve">odwołanie wniesione przez wykonawcę </w:t>
      </w:r>
      <w:proofErr w:type="spellStart"/>
      <w:r w:rsidRPr="00871BA9">
        <w:rPr>
          <w:rFonts w:ascii="DejaVuSansCondensed" w:eastAsiaTheme="minorEastAsia" w:hAnsi="DejaVuSansCondensed" w:cs="DejaVuSansCondensed"/>
          <w:color w:val="666666"/>
          <w:sz w:val="20"/>
          <w:szCs w:val="20"/>
        </w:rPr>
        <w:t>Urtica</w:t>
      </w:r>
      <w:proofErr w:type="spellEnd"/>
      <w:r w:rsidRPr="00871BA9">
        <w:rPr>
          <w:rFonts w:ascii="DejaVuSansCondensed" w:eastAsiaTheme="minorEastAsia" w:hAnsi="DejaVuSansCondensed" w:cs="DejaVuSansCondensed"/>
          <w:color w:val="666666"/>
          <w:sz w:val="20"/>
          <w:szCs w:val="20"/>
        </w:rPr>
        <w:t xml:space="preserve"> Sp. z o.o. z siedzibą we Wrocławiu w postępowaniu</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prowadzonym przez Szpital Specjalistyczny im. E. Biernackiego w Mielcu na dostawy produktów</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leczniczych oraz wyrobów medycznych, dotyczące analogicznych zapisów umownych, uznając za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uzasadnione zarzuty naruszenia art. 99 ust. 1, art. 433 pkt 4, art. oraz 441 ust. 1 ustawy z dnia 11</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września 2019 r. Prawo Zamówień Publicznych (Dz. U. 2023 poz. 1605). KIO w wyżej przywołanym</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wyroku stwierdziła, że Zamawiający jest bezwzględnie zobowiązany wskazać minimalną ilość każdego</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zamawianego produktu, zgodnie z treścią wynikającą z art. 433 pkt 4 PZP, a także uznała, że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Zamawiający ma bezwzględny obowiązek w sposób precyzyjny, zrozumiały oraz jednoznaczny wskazać w</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zakresie każdego zamawianego produktu, jego ilość, do której może zwiększyć zakres zamówienia w</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ramach korzystania z prawa opcji, co z kolei wynika z treści art. 441 ust. 1 PZP.</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KIO uznała, że chociaż Zamawiający dysponuje ograniczonymi możliwościami w zakresie precyzyjnego</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określenia zapotrzebowania na poszczególne produkty, a rodzaj i ilość towarów koniecznych do</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prawidłowego udzielania świadczeń zdrowotnych są uzależnione od różnych okoliczności, to jednak ich</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zaistnienie nie ma wpływu na zapisy umowy, które naruszają art. 99 ust. 1 PZP, art. 433 pkt 4 PZP i art.</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441 ust. 1 PZP. Izba potwierdziła, że norma wynikająca z art. 433 pkt 4 PZP, która zakazuje wprowadzania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postanowień przewidujących możliwość dowolnego ograniczenia zakresu zamówienia, bez wskazania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minimalnej wartości lub wielkości świadczenia stron oraz norma wynikająca z art. 441 ust. 1 PZP, która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określa zasady korzystania z prawa opcji, nakazująca opisywać je w postaci zrozumiałych, precyzyjnych</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oraz jednoznacznych postanowień, mają charakter bezwzględnie obowiązujący. Ponadto, żadne inne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przepisy PZP nie ograniczają ani nie wyłączają zastosowania tych norm w przypadkach wystąpienia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okoliczności mających wpływ na rodzaj i ilość towarów stanowiących zapotrzebowanie podmiotów</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lastRenderedPageBreak/>
        <w:t>udzielających świadczenia zdrowotne. KIO stwierdziła też, że wszelkie okoliczności, które powodują, że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Zamawiający nie jest w stanie przewidzieć, ile dokładnie produktów będzie potrzebował, nie mogą</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powodować naruszenia art. 99 ust. 1 PZP, który nakazuje jednoznacznie, wyczerpująco, dokładnie 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zrozumiale opisać przedmiot zamówienia, w tym przypadku poprzez podanie liczby asortymentu, do</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której zamierza zmniejszyć lub zwiększyć zakres zamówienia w zakresie każdego produktu.</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KIO wskazała, że w przypadku zamówienia udzielanego w częściach, każda z części zamówienia stanowi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odrębne zamówienie. W związku z tym, opis przedmiotu zamówienia, który przewiduje dowolne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zwiększanie lub zmniejszanie ilości produktów z wybranych pozycji asortymentu, w tym całkowitą</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rezygnację z niektórych pozycji asortymentu, należy uznać za niejednoznaczny, niewyczerpujący,</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nieprecyzyjny, nieuwzględniający wszystkich wymagań oraz okoliczności, mogących mieć wpływ na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sporządzenie oferty. Izba zauważyła, że możliwość zwiększenia zakresu zamówienia w istocie stanowi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opcję, co potwierdza art. 31 ust. 2 PZP, z którego wynika, że przy ustaleniu wartości zamówienia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uwzględnia się największy możliwy zakres tego zamówienia z uwzględnieniem opcji. KIO wywnioskowała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także, że gdy przedmiotem zamówienia są dostawy, opcja stanowi instrument, który pozwala</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Zamawiającemu na nabycie produktów w ilości adekwatnej do zmian w zakresie jego potrzeb,</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występujących po zawarciu umowy w sprawie zamówienia publicznego. Zamawiający ma więc możliwość</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zastrzeżenia w umowie „opcji w górę”, przewidującej zwiększenie zakresu zamówienia oraz „opcji w dół”,</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pozwalającej na ograniczenie zakresu zamówienia. Nie jest nieprawidłowe zawarcie obu tych możliwości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w jednym postanowieniu umowy czy też powiązanie ich ze sobą, ale przy ograniczaniu zakresu</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zamówienia należy przestrzegać zasady wynikającej z treści art. 433 pkt 4 PZP, natomiast w zakresie,</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gdzie zwiększenie zakresu zamówienia stanowi opcję, należy stosować się do reguł wynikających z art.</w:t>
      </w:r>
    </w:p>
    <w:p w:rsid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441 ust. 1 PZP.</w:t>
      </w:r>
    </w:p>
    <w:p w:rsidR="00871BA9" w:rsidRDefault="00871BA9" w:rsidP="00871BA9">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621572">
        <w:rPr>
          <w:rFonts w:ascii="Times New Roman" w:eastAsiaTheme="minorEastAsia" w:hAnsi="Times New Roman" w:cs="Times New Roman"/>
          <w:b/>
          <w:i/>
          <w:iCs/>
        </w:rPr>
        <w:t xml:space="preserve">Zamawiający z należytą starannością dokonał określenia wielkości zamówienia w zakresie poszczególnych pozycji. Dotychczas realizacja zwartych umów przetargowych wskazuje na praktycznie 100% realizację umowy, natomiast realizacja wartościowa w obrębie zadania zdarzała się sporadycznie. Mogło być to skutkiem zmiany zaleceń medycznych towarzystw naukowych w zakresie zmiany standardów stosowania </w:t>
      </w:r>
      <w:proofErr w:type="spellStart"/>
      <w:r w:rsidR="00621572">
        <w:rPr>
          <w:rFonts w:ascii="Times New Roman" w:eastAsiaTheme="minorEastAsia" w:hAnsi="Times New Roman" w:cs="Times New Roman"/>
          <w:b/>
          <w:i/>
          <w:iCs/>
        </w:rPr>
        <w:t>płynoterapii</w:t>
      </w:r>
      <w:proofErr w:type="spellEnd"/>
      <w:r w:rsidR="00621572">
        <w:rPr>
          <w:rFonts w:ascii="Times New Roman" w:eastAsiaTheme="minorEastAsia" w:hAnsi="Times New Roman" w:cs="Times New Roman"/>
          <w:b/>
          <w:i/>
          <w:iCs/>
        </w:rPr>
        <w:t xml:space="preserve"> lub zmiany wewnętrznych procedur Zamawiającego.</w:t>
      </w:r>
      <w:r w:rsidR="00A82590">
        <w:rPr>
          <w:rFonts w:ascii="Times New Roman" w:eastAsiaTheme="minorEastAsia" w:hAnsi="Times New Roman" w:cs="Times New Roman"/>
          <w:b/>
          <w:i/>
          <w:iCs/>
        </w:rPr>
        <w:t xml:space="preserve"> Jednak w okresie trwania umowy tj. 24 miesiące Zamawiający nie jest w stanie przewidzieć możliwości wystąpienia wszystkich czynników, które mogą wpłynąć na poziom realizacji poszczególnych pozycji. Podsumowując: określenie ilości poszczególnych pozycji odbyło się z należytą starannością i Zamawiający gwarantuje realizację min. 60% wartości każdego zadania.</w:t>
      </w:r>
    </w:p>
    <w:p w:rsid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4. Do §15 ust. 5 wzoru umowy. Czy Zamawiający wyrazi zgodę na wykreślenie zapisu dotyczącego</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obowiązku informowania o zmianie stawki podatku VAT oraz cen urzędowych, z uwagi na fakt, że</w:t>
      </w:r>
    </w:p>
    <w:p w:rsid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informacje te są ogólnie dostępne i wprowadzane odpowiednim aktem prawnym?</w:t>
      </w:r>
    </w:p>
    <w:p w:rsid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A82590">
        <w:rPr>
          <w:rFonts w:ascii="Times New Roman" w:eastAsiaTheme="minorEastAsia" w:hAnsi="Times New Roman" w:cs="Times New Roman"/>
          <w:b/>
          <w:i/>
          <w:iCs/>
        </w:rPr>
        <w:t xml:space="preserve">Zamawiający </w:t>
      </w:r>
      <w:r w:rsidR="00A82590" w:rsidRPr="00445D76">
        <w:rPr>
          <w:rFonts w:ascii="Times New Roman" w:eastAsiaTheme="minorEastAsia" w:hAnsi="Times New Roman" w:cs="Times New Roman"/>
          <w:b/>
          <w:i/>
          <w:iCs/>
          <w:u w:val="single"/>
        </w:rPr>
        <w:t>nie wyraża zgody</w:t>
      </w:r>
      <w:r w:rsidR="00A82590">
        <w:rPr>
          <w:rFonts w:ascii="Times New Roman" w:eastAsiaTheme="minorEastAsia" w:hAnsi="Times New Roman" w:cs="Times New Roman"/>
          <w:b/>
          <w:i/>
          <w:iCs/>
        </w:rPr>
        <w:t>.</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5. Do §16 wzoru umowy. Prosimy o dodanie zastrzeżenia, że w przypadku, gdy strony nie dojdą do</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porozumienia w zakresie zmiany wynagrodzenia Wykonawcy w oparciu o §16, zarówno Wykonawca jaki i</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Zamawiający nabędą uprawnienie do rozwiązania w tej części umowy za porozumieniem stron, z</w:t>
      </w:r>
    </w:p>
    <w:p w:rsidR="00871BA9" w:rsidRPr="00871BA9" w:rsidRDefault="00871BA9" w:rsidP="00871BA9">
      <w:pPr>
        <w:autoSpaceDE w:val="0"/>
        <w:autoSpaceDN w:val="0"/>
        <w:adjustRightInd w:val="0"/>
        <w:spacing w:after="0" w:line="240" w:lineRule="auto"/>
        <w:ind w:left="567"/>
        <w:rPr>
          <w:rFonts w:ascii="DejaVuSansCondensed" w:eastAsiaTheme="minorEastAsia" w:hAnsi="DejaVuSansCondensed" w:cs="DejaVuSansCondensed"/>
          <w:color w:val="666666"/>
          <w:sz w:val="20"/>
          <w:szCs w:val="20"/>
        </w:rPr>
      </w:pPr>
      <w:r w:rsidRPr="00871BA9">
        <w:rPr>
          <w:rFonts w:ascii="DejaVuSansCondensed" w:eastAsiaTheme="minorEastAsia" w:hAnsi="DejaVuSansCondensed" w:cs="DejaVuSansCondensed"/>
          <w:color w:val="666666"/>
          <w:sz w:val="20"/>
          <w:szCs w:val="20"/>
        </w:rPr>
        <w:t>zachowaniem jednomiesięcznego okresu wypowiedzenia, bez obowiązku ponoszenia z tego tytułu kar</w:t>
      </w:r>
    </w:p>
    <w:p w:rsidR="00672553" w:rsidRPr="00871BA9" w:rsidRDefault="00871BA9" w:rsidP="00871BA9">
      <w:pPr>
        <w:ind w:left="567"/>
        <w:rPr>
          <w:rFonts w:asciiTheme="minorHAnsi" w:eastAsia="Times New Roman" w:hAnsiTheme="minorHAnsi" w:cstheme="minorHAnsi"/>
          <w:color w:val="666666"/>
          <w:sz w:val="20"/>
          <w:szCs w:val="20"/>
        </w:rPr>
      </w:pPr>
      <w:r w:rsidRPr="00871BA9">
        <w:rPr>
          <w:rFonts w:ascii="DejaVuSansCondensed" w:eastAsiaTheme="minorEastAsia" w:hAnsi="DejaVuSansCondensed" w:cs="DejaVuSansCondensed"/>
          <w:color w:val="666666"/>
          <w:sz w:val="20"/>
          <w:szCs w:val="20"/>
        </w:rPr>
        <w:t>umownych.</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3A6493">
        <w:rPr>
          <w:rFonts w:ascii="Times New Roman" w:eastAsiaTheme="minorEastAsia" w:hAnsi="Times New Roman" w:cs="Times New Roman"/>
          <w:b/>
          <w:i/>
          <w:iCs/>
        </w:rPr>
        <w:t>Z uwagi na charakter zawieranej umowy tj. zabezpieczenie płynów infuzyjnych dla potrzebujących ich pacjentów Zamawiający nie wyraża zgody na proponowaną zmianę.</w:t>
      </w:r>
    </w:p>
    <w:p w:rsidR="00BA5E63" w:rsidRDefault="00BA5E63" w:rsidP="00672553">
      <w:pPr>
        <w:ind w:left="426"/>
        <w:rPr>
          <w:rFonts w:asciiTheme="minorHAnsi" w:eastAsiaTheme="minorHAnsi" w:hAnsiTheme="minorHAnsi" w:cstheme="minorHAnsi"/>
          <w:color w:val="auto"/>
          <w:lang w:eastAsia="en-US"/>
        </w:rPr>
      </w:pPr>
    </w:p>
    <w:p w:rsidR="00F3346F" w:rsidRDefault="00F3346F" w:rsidP="00F3346F">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3</w:t>
      </w:r>
      <w:r w:rsidR="001107B7">
        <w:rPr>
          <w:rFonts w:ascii="Times New Roman" w:eastAsiaTheme="minorHAnsi" w:hAnsi="Times New Roman" w:cs="Times New Roman"/>
          <w:b/>
          <w:color w:val="auto"/>
          <w:lang w:eastAsia="en-US"/>
        </w:rPr>
        <w:t xml:space="preserve">  </w:t>
      </w:r>
    </w:p>
    <w:p w:rsidR="00871BA9" w:rsidRPr="00161435" w:rsidRDefault="00871BA9" w:rsidP="00F3346F">
      <w:pPr>
        <w:spacing w:after="0" w:line="240" w:lineRule="auto"/>
        <w:ind w:left="1134" w:hanging="283"/>
        <w:jc w:val="both"/>
        <w:rPr>
          <w:rFonts w:ascii="Times New Roman" w:eastAsiaTheme="minorHAnsi" w:hAnsi="Times New Roman" w:cs="Times New Roman"/>
          <w:b/>
          <w:color w:val="auto"/>
          <w:lang w:eastAsia="en-US"/>
        </w:rPr>
      </w:pPr>
    </w:p>
    <w:p w:rsidR="00871BA9" w:rsidRDefault="00871BA9" w:rsidP="00871BA9">
      <w:pPr>
        <w:numPr>
          <w:ilvl w:val="0"/>
          <w:numId w:val="1"/>
        </w:numPr>
        <w:spacing w:after="0" w:line="240" w:lineRule="auto"/>
        <w:jc w:val="both"/>
        <w:rPr>
          <w:rFonts w:ascii="Times New Roman" w:eastAsia="Times New Roman" w:hAnsi="Times New Roman" w:cs="Times New Roman"/>
          <w:color w:val="auto"/>
        </w:rPr>
      </w:pPr>
      <w:r>
        <w:t xml:space="preserve">Prosimy o dopuszczenie w części nr 17 koncentrat do hemodializy, zgodny z Farmakopeą Europejską, produkowany w postaci gotowych do użycia naważek (sód w postaci suchej, elektrolity i kwas octowy lodowaty płynnej), pozwalający na przygotowanie stabilnego płynnego koncentratu (wydajność 1 opakowanie = 100 litrów); skład koncentratu podstawowego: Na+ 138 </w:t>
      </w:r>
      <w:proofErr w:type="spellStart"/>
      <w:r>
        <w:t>mmol</w:t>
      </w:r>
      <w:proofErr w:type="spellEnd"/>
      <w:r>
        <w:t xml:space="preserve">/L, K+ 3 </w:t>
      </w:r>
      <w:proofErr w:type="spellStart"/>
      <w:r>
        <w:t>mmol</w:t>
      </w:r>
      <w:proofErr w:type="spellEnd"/>
      <w:r>
        <w:t xml:space="preserve">/L, Ca2+  1,5 </w:t>
      </w:r>
      <w:proofErr w:type="spellStart"/>
      <w:r>
        <w:t>mmol</w:t>
      </w:r>
      <w:proofErr w:type="spellEnd"/>
      <w:r>
        <w:t xml:space="preserve">/L, Mg2+  0,5 </w:t>
      </w:r>
      <w:proofErr w:type="spellStart"/>
      <w:r>
        <w:t>mmol</w:t>
      </w:r>
      <w:proofErr w:type="spellEnd"/>
      <w:r>
        <w:t>/L oraz glukoza 1 g/L lub inny w zależności od bieżących potrzeb Zamawiającego. Rejestracja: wyrób medyczny (produkt musi posiadać certyfikat CE) Wielkość opakowania: ilość pozwalająca na uzyskanie 100 litrów płynnego koncentratu</w:t>
      </w:r>
    </w:p>
    <w:p w:rsidR="00633A26" w:rsidRDefault="00871BA9" w:rsidP="00633A26">
      <w:pPr>
        <w:spacing w:after="0" w:line="240" w:lineRule="auto"/>
        <w:jc w:val="both"/>
        <w:rPr>
          <w:rFonts w:ascii="Times New Roman" w:eastAsiaTheme="minorEastAsia" w:hAnsi="Times New Roman" w:cs="Times New Roman"/>
          <w:b/>
          <w:i/>
          <w:iCs/>
        </w:rPr>
      </w:pPr>
      <w:r>
        <w:lastRenderedPageBreak/>
        <w:t xml:space="preserve"> </w:t>
      </w:r>
      <w:r>
        <w:rPr>
          <w:rFonts w:eastAsiaTheme="minorEastAsia"/>
        </w:rPr>
        <w:t xml:space="preserve">     </w:t>
      </w:r>
      <w:r w:rsidRPr="00161435">
        <w:rPr>
          <w:rFonts w:ascii="Times New Roman" w:eastAsiaTheme="minorEastAsia" w:hAnsi="Times New Roman" w:cs="Times New Roman"/>
          <w:b/>
          <w:i/>
          <w:iCs/>
        </w:rPr>
        <w:t xml:space="preserve">Odpowiedź: </w:t>
      </w:r>
      <w:r w:rsidR="00C36F61">
        <w:rPr>
          <w:rFonts w:ascii="Times New Roman" w:eastAsiaTheme="minorEastAsia" w:hAnsi="Times New Roman" w:cs="Times New Roman"/>
          <w:b/>
          <w:i/>
          <w:iCs/>
        </w:rPr>
        <w:t>Zamawiający nie wyraża zgody na zaoferowanie opisanego koncentratu ze względu na postać suchą</w:t>
      </w:r>
      <w:r w:rsidR="00633A26">
        <w:rPr>
          <w:rFonts w:ascii="Times New Roman" w:eastAsiaTheme="minorEastAsia" w:hAnsi="Times New Roman" w:cs="Times New Roman"/>
          <w:b/>
          <w:i/>
          <w:iCs/>
        </w:rPr>
        <w:t xml:space="preserve">    </w:t>
      </w:r>
    </w:p>
    <w:p w:rsidR="00871BA9" w:rsidRPr="00161435" w:rsidRDefault="00633A26" w:rsidP="00633A26">
      <w:pPr>
        <w:spacing w:after="0" w:line="240" w:lineRule="auto"/>
        <w:jc w:val="both"/>
        <w:rPr>
          <w:rFonts w:ascii="Times New Roman" w:eastAsiaTheme="minorEastAsia" w:hAnsi="Times New Roman" w:cs="Times New Roman"/>
          <w:b/>
          <w:i/>
          <w:iCs/>
        </w:rPr>
      </w:pPr>
      <w:r>
        <w:rPr>
          <w:rFonts w:ascii="Times New Roman" w:eastAsiaTheme="minorEastAsia" w:hAnsi="Times New Roman" w:cs="Times New Roman"/>
          <w:b/>
          <w:i/>
          <w:iCs/>
        </w:rPr>
        <w:t xml:space="preserve">    </w:t>
      </w:r>
      <w:r w:rsidR="00C36F61">
        <w:rPr>
          <w:rFonts w:ascii="Times New Roman" w:eastAsiaTheme="minorEastAsia" w:hAnsi="Times New Roman" w:cs="Times New Roman"/>
          <w:b/>
          <w:i/>
          <w:iCs/>
        </w:rPr>
        <w:t xml:space="preserve"> (proszek) i płynną – Zamawiający może przygotowywać roztwory do dializy wyłącznie z proszku.</w:t>
      </w:r>
    </w:p>
    <w:p w:rsidR="00F3346F" w:rsidRDefault="00F3346F" w:rsidP="00672553">
      <w:pPr>
        <w:ind w:left="426"/>
        <w:rPr>
          <w:rFonts w:asciiTheme="minorHAnsi" w:eastAsiaTheme="minorHAnsi" w:hAnsiTheme="minorHAnsi" w:cstheme="minorHAnsi"/>
          <w:color w:val="auto"/>
          <w:lang w:eastAsia="en-US"/>
        </w:rPr>
      </w:pPr>
    </w:p>
    <w:p w:rsidR="00461550" w:rsidRDefault="00461550" w:rsidP="00461550">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4</w:t>
      </w:r>
      <w:r w:rsidR="001107B7">
        <w:rPr>
          <w:rFonts w:ascii="Times New Roman" w:eastAsiaTheme="minorHAnsi" w:hAnsi="Times New Roman" w:cs="Times New Roman"/>
          <w:b/>
          <w:color w:val="auto"/>
          <w:lang w:eastAsia="en-US"/>
        </w:rPr>
        <w:t xml:space="preserve"> </w:t>
      </w:r>
    </w:p>
    <w:p w:rsidR="00871BA9" w:rsidRDefault="00871BA9" w:rsidP="00461550">
      <w:pPr>
        <w:spacing w:after="0" w:line="240" w:lineRule="auto"/>
        <w:ind w:left="1134" w:hanging="283"/>
        <w:jc w:val="both"/>
        <w:rPr>
          <w:rFonts w:ascii="Times New Roman" w:eastAsiaTheme="minorHAnsi" w:hAnsi="Times New Roman" w:cs="Times New Roman"/>
          <w:b/>
          <w:color w:val="auto"/>
          <w:lang w:eastAsia="en-US"/>
        </w:rPr>
      </w:pPr>
    </w:p>
    <w:p w:rsidR="00871BA9" w:rsidRPr="00871BA9" w:rsidRDefault="00871BA9" w:rsidP="00871BA9">
      <w:pPr>
        <w:numPr>
          <w:ilvl w:val="0"/>
          <w:numId w:val="2"/>
        </w:numPr>
        <w:spacing w:after="0" w:line="276" w:lineRule="auto"/>
        <w:jc w:val="both"/>
        <w:rPr>
          <w:rFonts w:ascii="Verdana" w:eastAsia="Times New Roman" w:hAnsi="Verdana" w:cs="Times New Roman"/>
          <w:color w:val="auto"/>
          <w:sz w:val="20"/>
          <w:szCs w:val="20"/>
        </w:rPr>
      </w:pPr>
      <w:r>
        <w:rPr>
          <w:rFonts w:ascii="Verdana" w:hAnsi="Verdana"/>
          <w:sz w:val="20"/>
          <w:szCs w:val="20"/>
        </w:rPr>
        <w:t xml:space="preserve">Czy Zamawiający dopuści w zadaniu nr 1 pozycja 2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eastAsia="Times New Roman" w:hAnsi="Verdana" w:cs="Times New Roman"/>
          <w:color w:val="auto"/>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1 pozycja 3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871BA9" w:rsidRDefault="00871BA9" w:rsidP="00871BA9">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D71ABE">
      <w:pPr>
        <w:pStyle w:val="Akapitzlist"/>
        <w:autoSpaceDE w:val="0"/>
        <w:autoSpaceDN w:val="0"/>
        <w:adjustRightInd w:val="0"/>
        <w:spacing w:after="0" w:line="240" w:lineRule="auto"/>
        <w:ind w:left="426" w:hanging="283"/>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3 pozycja 1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4 pozycja 1 opakowanie zbiorcze x 12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5 pozycja 1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6 pozycja 1 opakowanie zbiorcze x 40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6 pozycja 2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00633A26" w:rsidRPr="00633A26">
        <w:rPr>
          <w:rFonts w:ascii="Times New Roman" w:eastAsiaTheme="minorEastAsia" w:hAnsi="Times New Roman" w:cs="Times New Roman"/>
          <w:b/>
          <w:i/>
          <w:iCs/>
        </w:rPr>
        <w:t xml:space="preserve">Odpowiedź: </w:t>
      </w:r>
      <w:r w:rsidR="00633A26" w:rsidRPr="00286876">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6 pozycja 3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6 pozycja 4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7 pozycja 1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7 pozycja 2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D71ABE">
      <w:pPr>
        <w:pStyle w:val="Akapitzlist"/>
        <w:autoSpaceDE w:val="0"/>
        <w:autoSpaceDN w:val="0"/>
        <w:adjustRightInd w:val="0"/>
        <w:spacing w:after="0" w:line="240" w:lineRule="auto"/>
        <w:ind w:left="426" w:hanging="283"/>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8 pozycja 2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10 pozycja 2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11 pozycja 1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spacing w:after="0" w:line="276" w:lineRule="auto"/>
        <w:ind w:left="720"/>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11 pozycja 2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Czy Zamawiający dopuści w zadaniu nr 11 pozycja 3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Pr="00161435"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11 pozycja 4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871BA9"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11 pozycja 5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16 pozycja 1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16 pozycja 2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18 pozycja 1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21 pozycja 1 opakowanie zbiorcze x 40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Default="00FE6B05" w:rsidP="00782BFD">
      <w:pPr>
        <w:spacing w:after="0" w:line="276" w:lineRule="auto"/>
        <w:jc w:val="both"/>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21 pozycja 2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21 pozycja 3 opakowanie zbiorcze x 20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Default="00FE6B05" w:rsidP="00D71ABE">
      <w:pPr>
        <w:pStyle w:val="Akapitzlist"/>
        <w:autoSpaceDE w:val="0"/>
        <w:autoSpaceDN w:val="0"/>
        <w:adjustRightInd w:val="0"/>
        <w:spacing w:after="0" w:line="240" w:lineRule="auto"/>
        <w:ind w:left="426" w:hanging="283"/>
        <w:rPr>
          <w:rFonts w:ascii="Verdana" w:hAnsi="Verdana"/>
          <w:sz w:val="20"/>
          <w:szCs w:val="20"/>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21 pozycja 4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871BA9">
      <w:pPr>
        <w:numPr>
          <w:ilvl w:val="0"/>
          <w:numId w:val="2"/>
        </w:numPr>
        <w:spacing w:after="0" w:line="276" w:lineRule="auto"/>
        <w:jc w:val="both"/>
        <w:rPr>
          <w:rFonts w:ascii="Verdana" w:hAnsi="Verdana"/>
          <w:sz w:val="20"/>
          <w:szCs w:val="20"/>
        </w:rPr>
      </w:pPr>
      <w:r>
        <w:rPr>
          <w:rFonts w:ascii="Verdana" w:hAnsi="Verdana"/>
          <w:sz w:val="20"/>
          <w:szCs w:val="20"/>
        </w:rPr>
        <w:t xml:space="preserve">- Czy Zamawiający dopuści w zadaniu nr 22 pozycja 1 opakowanie zbiorcze x 10 </w:t>
      </w:r>
      <w:proofErr w:type="spellStart"/>
      <w:r>
        <w:rPr>
          <w:rFonts w:ascii="Verdana" w:hAnsi="Verdana"/>
          <w:sz w:val="20"/>
          <w:szCs w:val="20"/>
        </w:rPr>
        <w:t>szt</w:t>
      </w:r>
      <w:proofErr w:type="spellEnd"/>
      <w:r>
        <w:rPr>
          <w:rFonts w:ascii="Verdana" w:hAnsi="Verdana"/>
          <w:sz w:val="20"/>
          <w:szCs w:val="20"/>
        </w:rPr>
        <w:t xml:space="preserve"> z odpowiednim przeliczeniem ilości ?</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FE6B05">
      <w:pPr>
        <w:numPr>
          <w:ilvl w:val="0"/>
          <w:numId w:val="2"/>
        </w:numPr>
        <w:spacing w:after="0" w:line="276" w:lineRule="auto"/>
        <w:ind w:left="709" w:hanging="425"/>
        <w:jc w:val="both"/>
        <w:rPr>
          <w:rFonts w:ascii="Verdana" w:hAnsi="Verdana"/>
          <w:sz w:val="20"/>
          <w:szCs w:val="20"/>
        </w:rPr>
      </w:pPr>
      <w:r>
        <w:rPr>
          <w:rFonts w:ascii="Verdana" w:hAnsi="Verdana"/>
          <w:b/>
          <w:bCs/>
          <w:sz w:val="20"/>
          <w:szCs w:val="20"/>
        </w:rPr>
        <w:t xml:space="preserve">Dotyczy § 10 ust. 1 lit. d) umowy - </w:t>
      </w:r>
      <w:r>
        <w:rPr>
          <w:rFonts w:ascii="Verdana" w:hAnsi="Verdana"/>
          <w:sz w:val="20"/>
          <w:szCs w:val="20"/>
        </w:rPr>
        <w:t>Czy Zamawiający wyrazi zgodę na wskazanie jako podstawy do ustalenia wysokości kary umownej wartość niezrealizowanej części umowy w przypadku odstąpienia od umowy ? W przypadku zrealizowania zgodnie z umową znacznej części zamówienia, kara naliczana od całości umowy jest wyraźnie zawyżona.</w:t>
      </w:r>
    </w:p>
    <w:p w:rsidR="00D71ABE" w:rsidRPr="00161435" w:rsidRDefault="00FE6B05" w:rsidP="00D71ABE">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 xml:space="preserve">Zamawiający </w:t>
      </w:r>
      <w:r w:rsidR="00D71ABE" w:rsidRPr="00D71ABE">
        <w:rPr>
          <w:rFonts w:ascii="Times New Roman" w:eastAsiaTheme="minorEastAsia" w:hAnsi="Times New Roman" w:cs="Times New Roman"/>
          <w:b/>
          <w:i/>
          <w:iCs/>
          <w:u w:val="single"/>
        </w:rPr>
        <w:t>nie wyraża zgody</w:t>
      </w:r>
      <w:r w:rsidR="00D71ABE">
        <w:rPr>
          <w:rFonts w:ascii="Times New Roman" w:eastAsiaTheme="minorEastAsia" w:hAnsi="Times New Roman" w:cs="Times New Roman"/>
          <w:b/>
          <w:i/>
          <w:iCs/>
        </w:rPr>
        <w:t xml:space="preserve"> na zmiany w zapisach dotyczących kar umownych.</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p>
    <w:p w:rsidR="00871BA9" w:rsidRDefault="00871BA9" w:rsidP="00FE6B05">
      <w:pPr>
        <w:numPr>
          <w:ilvl w:val="0"/>
          <w:numId w:val="2"/>
        </w:numPr>
        <w:spacing w:after="0" w:line="240" w:lineRule="auto"/>
        <w:ind w:left="709" w:hanging="425"/>
        <w:jc w:val="both"/>
        <w:rPr>
          <w:rFonts w:ascii="Verdana" w:hAnsi="Verdana"/>
          <w:sz w:val="20"/>
          <w:szCs w:val="20"/>
        </w:rPr>
      </w:pPr>
      <w:r>
        <w:rPr>
          <w:rFonts w:ascii="Verdana" w:hAnsi="Verdana"/>
          <w:b/>
          <w:bCs/>
          <w:sz w:val="20"/>
          <w:szCs w:val="20"/>
        </w:rPr>
        <w:t xml:space="preserve">Dotyczy § 10 ust. 1 lit. d) umowy </w:t>
      </w:r>
      <w:r>
        <w:rPr>
          <w:rFonts w:ascii="Verdana" w:hAnsi="Verdana"/>
          <w:sz w:val="20"/>
          <w:szCs w:val="20"/>
        </w:rPr>
        <w:t>- Czy Zamawiający wyrazi zgodę na obniżenie kar umownych do wysokości 5 % wartości umowy ?</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 xml:space="preserve">Zamawiający </w:t>
      </w:r>
      <w:r w:rsidR="00D71ABE" w:rsidRPr="00D71ABE">
        <w:rPr>
          <w:rFonts w:ascii="Times New Roman" w:eastAsiaTheme="minorEastAsia" w:hAnsi="Times New Roman" w:cs="Times New Roman"/>
          <w:b/>
          <w:i/>
          <w:iCs/>
          <w:u w:val="single"/>
        </w:rPr>
        <w:t>nie wyraża zgody</w:t>
      </w:r>
      <w:r w:rsidR="00D71ABE">
        <w:rPr>
          <w:rFonts w:ascii="Times New Roman" w:eastAsiaTheme="minorEastAsia" w:hAnsi="Times New Roman" w:cs="Times New Roman"/>
          <w:b/>
          <w:i/>
          <w:iCs/>
        </w:rPr>
        <w:t xml:space="preserve"> na zmiany w zapisach dotyczących kar umownych.</w:t>
      </w:r>
    </w:p>
    <w:p w:rsidR="00871BA9" w:rsidRDefault="00871BA9" w:rsidP="00FE6B05">
      <w:pPr>
        <w:ind w:left="709" w:hanging="425"/>
        <w:jc w:val="both"/>
        <w:rPr>
          <w:rFonts w:ascii="Verdana" w:hAnsi="Verdana"/>
          <w:sz w:val="20"/>
          <w:szCs w:val="20"/>
        </w:rPr>
      </w:pPr>
    </w:p>
    <w:p w:rsidR="00871BA9" w:rsidRDefault="00871BA9" w:rsidP="00FE6B05">
      <w:pPr>
        <w:numPr>
          <w:ilvl w:val="0"/>
          <w:numId w:val="2"/>
        </w:numPr>
        <w:spacing w:after="0" w:line="240" w:lineRule="auto"/>
        <w:ind w:left="709" w:hanging="425"/>
        <w:jc w:val="both"/>
        <w:rPr>
          <w:rFonts w:ascii="Verdana" w:hAnsi="Verdana"/>
          <w:sz w:val="20"/>
          <w:szCs w:val="20"/>
        </w:rPr>
      </w:pPr>
      <w:r>
        <w:rPr>
          <w:rFonts w:ascii="Verdana" w:hAnsi="Verdana"/>
          <w:b/>
          <w:bCs/>
          <w:sz w:val="20"/>
          <w:szCs w:val="20"/>
        </w:rPr>
        <w:t xml:space="preserve">Dotyczy § 6 ust. 1 umowy </w:t>
      </w:r>
      <w:r>
        <w:rPr>
          <w:rFonts w:ascii="Verdana" w:hAnsi="Verdana"/>
          <w:sz w:val="20"/>
          <w:szCs w:val="20"/>
        </w:rPr>
        <w:t>- Czy Zamawiający wydłuży termin do rozpatrzenia reklamacji jakościowej przez Wykonawcę do 10 dni roboczych? Zgłoszona reklamacja wymaga rozpatrzenia z uwzględnieniem i tu np. wyjaśnień firmy kurierskiej dostarczającej leki bądź zbadania jakościowo wadliwego towaru, a następnie (przy uwzględnieniu reklamacji) dostarczenia towaru. Wykonanie tego w krótszym czasie jest niemożliwe.</w:t>
      </w:r>
    </w:p>
    <w:p w:rsidR="00FE6B05" w:rsidRPr="00161435" w:rsidRDefault="00FE6B05" w:rsidP="00FE6B0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sidR="00D71ABE">
        <w:rPr>
          <w:rFonts w:ascii="Times New Roman" w:eastAsiaTheme="minorEastAsia" w:hAnsi="Times New Roman" w:cs="Times New Roman"/>
          <w:b/>
          <w:i/>
          <w:iCs/>
        </w:rPr>
        <w:t>TAK, Zamawiający wyraża zgodę.</w:t>
      </w:r>
    </w:p>
    <w:p w:rsidR="00871BA9" w:rsidRDefault="00871BA9" w:rsidP="00871BA9">
      <w:pPr>
        <w:pStyle w:val="Akapitzlist"/>
        <w:rPr>
          <w:rFonts w:ascii="Verdana" w:hAnsi="Verdana"/>
          <w:sz w:val="20"/>
          <w:szCs w:val="20"/>
        </w:rPr>
      </w:pPr>
    </w:p>
    <w:p w:rsidR="00542696" w:rsidRPr="00513453" w:rsidRDefault="00542696" w:rsidP="00897426">
      <w:pPr>
        <w:pStyle w:val="Akapitzlist"/>
        <w:rPr>
          <w:rFonts w:ascii="Verdana" w:hAnsi="Verdana"/>
          <w:b/>
          <w:sz w:val="20"/>
          <w:szCs w:val="20"/>
        </w:rPr>
      </w:pPr>
      <w:r>
        <w:rPr>
          <w:rFonts w:ascii="Verdana" w:hAnsi="Verdana"/>
          <w:sz w:val="20"/>
          <w:szCs w:val="20"/>
        </w:rPr>
        <w:t xml:space="preserve">W związku z powyższym </w:t>
      </w:r>
      <w:r w:rsidRPr="00513453">
        <w:rPr>
          <w:rFonts w:ascii="Verdana" w:hAnsi="Verdana"/>
          <w:b/>
          <w:sz w:val="20"/>
          <w:szCs w:val="20"/>
          <w:highlight w:val="yellow"/>
        </w:rPr>
        <w:t>§6 ust. 1 otrzymuje nowe brzmienie:</w:t>
      </w:r>
    </w:p>
    <w:p w:rsidR="00542696" w:rsidRDefault="00542696" w:rsidP="00542696">
      <w:pPr>
        <w:numPr>
          <w:ilvl w:val="0"/>
          <w:numId w:val="3"/>
        </w:numPr>
        <w:tabs>
          <w:tab w:val="num" w:pos="284"/>
          <w:tab w:val="num" w:pos="2160"/>
        </w:tabs>
        <w:autoSpaceDN w:val="0"/>
        <w:spacing w:after="0" w:line="240" w:lineRule="auto"/>
        <w:ind w:left="567" w:right="124" w:hanging="284"/>
        <w:jc w:val="both"/>
        <w:rPr>
          <w:rFonts w:ascii="Times New Roman" w:hAnsi="Times New Roman"/>
          <w:sz w:val="21"/>
          <w:szCs w:val="21"/>
        </w:rPr>
      </w:pPr>
      <w:r>
        <w:rPr>
          <w:rFonts w:ascii="Times New Roman" w:hAnsi="Times New Roman"/>
          <w:sz w:val="21"/>
          <w:szCs w:val="21"/>
        </w:rPr>
        <w:t xml:space="preserve"> W przypadku stwierdzenia wad jakościowych dostarczonych leków oraz krótszego okresu przydatności do użycia niż określony w § 5, Wykonawca zobowiązany będzie do rozpatrzenia reklamacji nie później niż w ciągu </w:t>
      </w:r>
      <w:r w:rsidR="00A969DB" w:rsidRPr="00A969DB">
        <w:rPr>
          <w:rFonts w:ascii="Times New Roman" w:hAnsi="Times New Roman"/>
          <w:b/>
          <w:bCs/>
          <w:color w:val="0070C0"/>
          <w:sz w:val="21"/>
          <w:szCs w:val="21"/>
        </w:rPr>
        <w:t xml:space="preserve">10 </w:t>
      </w:r>
      <w:r w:rsidRPr="00A969DB">
        <w:rPr>
          <w:rFonts w:ascii="Times New Roman" w:hAnsi="Times New Roman"/>
          <w:b/>
          <w:bCs/>
          <w:color w:val="0070C0"/>
          <w:sz w:val="21"/>
          <w:szCs w:val="21"/>
        </w:rPr>
        <w:t>dni roboczych</w:t>
      </w:r>
      <w:r w:rsidRPr="00A969DB">
        <w:rPr>
          <w:rFonts w:ascii="Times New Roman" w:hAnsi="Times New Roman"/>
          <w:color w:val="0070C0"/>
          <w:sz w:val="21"/>
          <w:szCs w:val="21"/>
        </w:rPr>
        <w:t xml:space="preserve"> </w:t>
      </w:r>
      <w:r>
        <w:rPr>
          <w:rFonts w:ascii="Times New Roman" w:hAnsi="Times New Roman"/>
          <w:sz w:val="21"/>
          <w:szCs w:val="21"/>
        </w:rPr>
        <w:t>oraz w przypadku uznania reklamacji za uzasadnioną do wymiany zareklamowanych leków w terminie nie dłuższym niż 6 dni roboczych od daty uznania reklamacji za uzasadnioną.</w:t>
      </w:r>
    </w:p>
    <w:p w:rsidR="00542696" w:rsidRDefault="00542696" w:rsidP="00871BA9">
      <w:pPr>
        <w:pStyle w:val="Akapitzlist"/>
        <w:rPr>
          <w:rFonts w:ascii="Verdana" w:hAnsi="Verdana"/>
          <w:sz w:val="20"/>
          <w:szCs w:val="20"/>
        </w:rPr>
      </w:pPr>
    </w:p>
    <w:p w:rsidR="009719E5" w:rsidRDefault="00897426" w:rsidP="00053104">
      <w:pPr>
        <w:autoSpaceDE w:val="0"/>
        <w:autoSpaceDN w:val="0"/>
        <w:adjustRightInd w:val="0"/>
        <w:spacing w:after="0" w:line="240" w:lineRule="auto"/>
        <w:ind w:left="993"/>
        <w:rPr>
          <w:i/>
          <w:sz w:val="24"/>
          <w:szCs w:val="24"/>
        </w:rPr>
      </w:pPr>
      <w:r>
        <w:rPr>
          <w:b/>
          <w:i/>
          <w:sz w:val="24"/>
          <w:szCs w:val="24"/>
        </w:rPr>
        <w:t xml:space="preserve">               </w:t>
      </w:r>
      <w:r w:rsidR="00E17CC0">
        <w:rPr>
          <w:b/>
          <w:i/>
          <w:sz w:val="24"/>
          <w:szCs w:val="24"/>
        </w:rPr>
        <w:tab/>
      </w:r>
      <w:r w:rsidR="00E17CC0">
        <w:rPr>
          <w:b/>
          <w:i/>
          <w:sz w:val="24"/>
          <w:szCs w:val="24"/>
        </w:rPr>
        <w:tab/>
      </w:r>
      <w:r w:rsidR="00E17CC0">
        <w:rPr>
          <w:b/>
          <w:i/>
          <w:sz w:val="24"/>
          <w:szCs w:val="24"/>
        </w:rPr>
        <w:tab/>
      </w:r>
      <w:r w:rsidR="00E17CC0">
        <w:rPr>
          <w:b/>
          <w:i/>
          <w:sz w:val="24"/>
          <w:szCs w:val="24"/>
        </w:rPr>
        <w:tab/>
      </w:r>
      <w:r w:rsidR="00C276C2">
        <w:rPr>
          <w:b/>
          <w:i/>
          <w:sz w:val="24"/>
          <w:szCs w:val="24"/>
        </w:rPr>
        <w:t xml:space="preserve">                                            </w:t>
      </w:r>
      <w:r w:rsidR="007675D9">
        <w:rPr>
          <w:b/>
          <w:i/>
          <w:sz w:val="24"/>
          <w:szCs w:val="24"/>
        </w:rPr>
        <w:t xml:space="preserve">    </w:t>
      </w:r>
      <w:r w:rsidR="00C276C2">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1D49A7" w:rsidRDefault="001D49A7" w:rsidP="001D49A7">
      <w:pPr>
        <w:pStyle w:val="Stopka"/>
        <w:tabs>
          <w:tab w:val="clear" w:pos="4536"/>
          <w:tab w:val="clear" w:pos="9072"/>
          <w:tab w:val="left" w:pos="1080"/>
        </w:tabs>
        <w:ind w:left="6372"/>
        <w:jc w:val="both"/>
        <w:rPr>
          <w:b/>
          <w:sz w:val="20"/>
          <w:szCs w:val="20"/>
        </w:rPr>
      </w:pPr>
      <w:r>
        <w:rPr>
          <w:b/>
          <w:sz w:val="20"/>
          <w:szCs w:val="20"/>
        </w:rPr>
        <w:t xml:space="preserve">              Podpis w oryginale</w:t>
      </w:r>
    </w:p>
    <w:p w:rsidR="001D49A7" w:rsidRDefault="001D49A7" w:rsidP="001D49A7">
      <w:pPr>
        <w:pStyle w:val="Stopka"/>
        <w:tabs>
          <w:tab w:val="clear" w:pos="4536"/>
          <w:tab w:val="clear" w:pos="9072"/>
          <w:tab w:val="left" w:pos="1080"/>
        </w:tabs>
        <w:ind w:left="6372"/>
        <w:jc w:val="both"/>
        <w:rPr>
          <w:b/>
          <w:sz w:val="20"/>
          <w:szCs w:val="20"/>
        </w:rPr>
      </w:pPr>
      <w:r>
        <w:rPr>
          <w:b/>
          <w:sz w:val="20"/>
          <w:szCs w:val="20"/>
        </w:rPr>
        <w:t>Zastępca Dyrektora ds. Lecznictwa</w:t>
      </w:r>
    </w:p>
    <w:p w:rsidR="00EE6461" w:rsidRDefault="00EE6461" w:rsidP="00BF03B2">
      <w:pPr>
        <w:pStyle w:val="Stopka"/>
        <w:tabs>
          <w:tab w:val="clear" w:pos="4536"/>
          <w:tab w:val="clear" w:pos="9072"/>
          <w:tab w:val="left" w:pos="1080"/>
        </w:tabs>
        <w:ind w:left="567"/>
        <w:jc w:val="both"/>
        <w:rPr>
          <w:b/>
          <w:sz w:val="20"/>
          <w:szCs w:val="20"/>
        </w:rPr>
      </w:pPr>
      <w:bookmarkStart w:id="0" w:name="_GoBack"/>
      <w:bookmarkEnd w:id="0"/>
    </w:p>
    <w:p w:rsidR="0060601E" w:rsidRDefault="0060601E"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B3" w:rsidRDefault="000571B3" w:rsidP="000C33E6">
      <w:pPr>
        <w:spacing w:after="0" w:line="240" w:lineRule="auto"/>
      </w:pPr>
      <w:r>
        <w:separator/>
      </w:r>
    </w:p>
  </w:endnote>
  <w:endnote w:type="continuationSeparator" w:id="0">
    <w:p w:rsidR="000571B3" w:rsidRDefault="000571B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Condense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B3" w:rsidRDefault="000571B3" w:rsidP="000C33E6">
      <w:pPr>
        <w:spacing w:after="0" w:line="240" w:lineRule="auto"/>
      </w:pPr>
      <w:r>
        <w:separator/>
      </w:r>
    </w:p>
  </w:footnote>
  <w:footnote w:type="continuationSeparator" w:id="0">
    <w:p w:rsidR="000571B3" w:rsidRDefault="000571B3"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65C1"/>
    <w:rsid w:val="00045B52"/>
    <w:rsid w:val="00047876"/>
    <w:rsid w:val="00053104"/>
    <w:rsid w:val="0005558E"/>
    <w:rsid w:val="000558BA"/>
    <w:rsid w:val="000570A4"/>
    <w:rsid w:val="000571B3"/>
    <w:rsid w:val="000672A4"/>
    <w:rsid w:val="00077AC9"/>
    <w:rsid w:val="00092C4B"/>
    <w:rsid w:val="000A0F12"/>
    <w:rsid w:val="000A4080"/>
    <w:rsid w:val="000B51E2"/>
    <w:rsid w:val="000C33E6"/>
    <w:rsid w:val="000D4F80"/>
    <w:rsid w:val="000E0360"/>
    <w:rsid w:val="000F0256"/>
    <w:rsid w:val="000F0AE5"/>
    <w:rsid w:val="000F0D06"/>
    <w:rsid w:val="000F13DC"/>
    <w:rsid w:val="000F47FA"/>
    <w:rsid w:val="001107B7"/>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49A7"/>
    <w:rsid w:val="001D5265"/>
    <w:rsid w:val="00201BF6"/>
    <w:rsid w:val="00203A22"/>
    <w:rsid w:val="00223DA1"/>
    <w:rsid w:val="00233E78"/>
    <w:rsid w:val="002465E7"/>
    <w:rsid w:val="00252DE7"/>
    <w:rsid w:val="00260077"/>
    <w:rsid w:val="00277519"/>
    <w:rsid w:val="00277921"/>
    <w:rsid w:val="002810D8"/>
    <w:rsid w:val="00286876"/>
    <w:rsid w:val="00293A8B"/>
    <w:rsid w:val="002A4DE7"/>
    <w:rsid w:val="002B0D02"/>
    <w:rsid w:val="002B389C"/>
    <w:rsid w:val="002B3BA0"/>
    <w:rsid w:val="002B42E8"/>
    <w:rsid w:val="002C01A6"/>
    <w:rsid w:val="002C2FCA"/>
    <w:rsid w:val="002C6658"/>
    <w:rsid w:val="002D1C29"/>
    <w:rsid w:val="002D6EB6"/>
    <w:rsid w:val="002F001F"/>
    <w:rsid w:val="002F1CD0"/>
    <w:rsid w:val="002F3B7D"/>
    <w:rsid w:val="002F3EED"/>
    <w:rsid w:val="00300AE1"/>
    <w:rsid w:val="003169E9"/>
    <w:rsid w:val="00316E99"/>
    <w:rsid w:val="003463B7"/>
    <w:rsid w:val="00347F08"/>
    <w:rsid w:val="003569F6"/>
    <w:rsid w:val="003572A5"/>
    <w:rsid w:val="003846BA"/>
    <w:rsid w:val="00385292"/>
    <w:rsid w:val="003908FF"/>
    <w:rsid w:val="00394173"/>
    <w:rsid w:val="0039575F"/>
    <w:rsid w:val="003A6493"/>
    <w:rsid w:val="003B0F71"/>
    <w:rsid w:val="003C7675"/>
    <w:rsid w:val="003F3365"/>
    <w:rsid w:val="0040361E"/>
    <w:rsid w:val="004036AB"/>
    <w:rsid w:val="004061FD"/>
    <w:rsid w:val="00413FFD"/>
    <w:rsid w:val="004151F1"/>
    <w:rsid w:val="00421633"/>
    <w:rsid w:val="00426F90"/>
    <w:rsid w:val="00430892"/>
    <w:rsid w:val="00445D76"/>
    <w:rsid w:val="00447F0D"/>
    <w:rsid w:val="00452452"/>
    <w:rsid w:val="004528F8"/>
    <w:rsid w:val="00461550"/>
    <w:rsid w:val="0046580D"/>
    <w:rsid w:val="00487ACE"/>
    <w:rsid w:val="004958A9"/>
    <w:rsid w:val="004A2C94"/>
    <w:rsid w:val="004A5F42"/>
    <w:rsid w:val="004A71A3"/>
    <w:rsid w:val="004B16F6"/>
    <w:rsid w:val="004C572E"/>
    <w:rsid w:val="004D04EF"/>
    <w:rsid w:val="004E4BA3"/>
    <w:rsid w:val="004F43D7"/>
    <w:rsid w:val="004F6470"/>
    <w:rsid w:val="00513453"/>
    <w:rsid w:val="00522BF8"/>
    <w:rsid w:val="00523FAB"/>
    <w:rsid w:val="005311D5"/>
    <w:rsid w:val="00535262"/>
    <w:rsid w:val="00542696"/>
    <w:rsid w:val="005546E5"/>
    <w:rsid w:val="00565736"/>
    <w:rsid w:val="00565D8B"/>
    <w:rsid w:val="00570315"/>
    <w:rsid w:val="005747CF"/>
    <w:rsid w:val="00595EE8"/>
    <w:rsid w:val="005B524D"/>
    <w:rsid w:val="005B5FE3"/>
    <w:rsid w:val="005C3214"/>
    <w:rsid w:val="005D134F"/>
    <w:rsid w:val="005E1091"/>
    <w:rsid w:val="005E400F"/>
    <w:rsid w:val="005E6622"/>
    <w:rsid w:val="005E762A"/>
    <w:rsid w:val="006013CA"/>
    <w:rsid w:val="006037A0"/>
    <w:rsid w:val="0060601E"/>
    <w:rsid w:val="00610196"/>
    <w:rsid w:val="00613C42"/>
    <w:rsid w:val="00621572"/>
    <w:rsid w:val="006235FF"/>
    <w:rsid w:val="00627690"/>
    <w:rsid w:val="00627F42"/>
    <w:rsid w:val="0063082D"/>
    <w:rsid w:val="00631FFB"/>
    <w:rsid w:val="00633A26"/>
    <w:rsid w:val="006348DA"/>
    <w:rsid w:val="0065071F"/>
    <w:rsid w:val="00672553"/>
    <w:rsid w:val="0069046D"/>
    <w:rsid w:val="006959C9"/>
    <w:rsid w:val="00697524"/>
    <w:rsid w:val="00697E80"/>
    <w:rsid w:val="006A0B5D"/>
    <w:rsid w:val="006A6679"/>
    <w:rsid w:val="006B116A"/>
    <w:rsid w:val="006B1AFE"/>
    <w:rsid w:val="006B7D13"/>
    <w:rsid w:val="006F76BE"/>
    <w:rsid w:val="00710F5C"/>
    <w:rsid w:val="0071289D"/>
    <w:rsid w:val="007268EA"/>
    <w:rsid w:val="00727BD8"/>
    <w:rsid w:val="00727CCE"/>
    <w:rsid w:val="007319BC"/>
    <w:rsid w:val="00741D6F"/>
    <w:rsid w:val="00757C4A"/>
    <w:rsid w:val="00766B82"/>
    <w:rsid w:val="007675D9"/>
    <w:rsid w:val="00782BFD"/>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268EA"/>
    <w:rsid w:val="0082797C"/>
    <w:rsid w:val="008316B2"/>
    <w:rsid w:val="00834046"/>
    <w:rsid w:val="0083410E"/>
    <w:rsid w:val="00855F08"/>
    <w:rsid w:val="008613D0"/>
    <w:rsid w:val="00865A37"/>
    <w:rsid w:val="00871B4B"/>
    <w:rsid w:val="00871BA9"/>
    <w:rsid w:val="0087693B"/>
    <w:rsid w:val="008877FC"/>
    <w:rsid w:val="00893867"/>
    <w:rsid w:val="00894BD8"/>
    <w:rsid w:val="00897426"/>
    <w:rsid w:val="008A30F6"/>
    <w:rsid w:val="008B0701"/>
    <w:rsid w:val="008B3BE0"/>
    <w:rsid w:val="008B4737"/>
    <w:rsid w:val="008C3556"/>
    <w:rsid w:val="008C6482"/>
    <w:rsid w:val="008E3CDA"/>
    <w:rsid w:val="008F188D"/>
    <w:rsid w:val="008F580B"/>
    <w:rsid w:val="00904270"/>
    <w:rsid w:val="00905E0A"/>
    <w:rsid w:val="009101DD"/>
    <w:rsid w:val="00917222"/>
    <w:rsid w:val="00917668"/>
    <w:rsid w:val="00923AD3"/>
    <w:rsid w:val="009269CA"/>
    <w:rsid w:val="009411AB"/>
    <w:rsid w:val="00942B0E"/>
    <w:rsid w:val="0095244D"/>
    <w:rsid w:val="00953021"/>
    <w:rsid w:val="00956C53"/>
    <w:rsid w:val="00960960"/>
    <w:rsid w:val="009625E1"/>
    <w:rsid w:val="00962602"/>
    <w:rsid w:val="00967FE4"/>
    <w:rsid w:val="009719E5"/>
    <w:rsid w:val="00976307"/>
    <w:rsid w:val="00976878"/>
    <w:rsid w:val="009811E9"/>
    <w:rsid w:val="009856E7"/>
    <w:rsid w:val="00991A8A"/>
    <w:rsid w:val="00997AA2"/>
    <w:rsid w:val="009A0299"/>
    <w:rsid w:val="009B1013"/>
    <w:rsid w:val="009B5395"/>
    <w:rsid w:val="009E21B2"/>
    <w:rsid w:val="009F08CD"/>
    <w:rsid w:val="009F3246"/>
    <w:rsid w:val="00A168D5"/>
    <w:rsid w:val="00A1736D"/>
    <w:rsid w:val="00A241AC"/>
    <w:rsid w:val="00A24EBE"/>
    <w:rsid w:val="00A278C4"/>
    <w:rsid w:val="00A4040E"/>
    <w:rsid w:val="00A41329"/>
    <w:rsid w:val="00A41397"/>
    <w:rsid w:val="00A618CA"/>
    <w:rsid w:val="00A723F2"/>
    <w:rsid w:val="00A77054"/>
    <w:rsid w:val="00A82590"/>
    <w:rsid w:val="00A95BE6"/>
    <w:rsid w:val="00A969DB"/>
    <w:rsid w:val="00AA112A"/>
    <w:rsid w:val="00AA2717"/>
    <w:rsid w:val="00AA2ABD"/>
    <w:rsid w:val="00AA5D9B"/>
    <w:rsid w:val="00AA792D"/>
    <w:rsid w:val="00AB21BF"/>
    <w:rsid w:val="00AD29BE"/>
    <w:rsid w:val="00AF1BA4"/>
    <w:rsid w:val="00AF2062"/>
    <w:rsid w:val="00B00114"/>
    <w:rsid w:val="00B05825"/>
    <w:rsid w:val="00B05A94"/>
    <w:rsid w:val="00B11558"/>
    <w:rsid w:val="00B124E7"/>
    <w:rsid w:val="00B14198"/>
    <w:rsid w:val="00B377A5"/>
    <w:rsid w:val="00B4371E"/>
    <w:rsid w:val="00B479A5"/>
    <w:rsid w:val="00B50977"/>
    <w:rsid w:val="00B52C31"/>
    <w:rsid w:val="00B56173"/>
    <w:rsid w:val="00B8751C"/>
    <w:rsid w:val="00B945D3"/>
    <w:rsid w:val="00B9794B"/>
    <w:rsid w:val="00BA5E63"/>
    <w:rsid w:val="00BA6515"/>
    <w:rsid w:val="00BB5776"/>
    <w:rsid w:val="00BD4001"/>
    <w:rsid w:val="00BE2AE7"/>
    <w:rsid w:val="00BE7BFC"/>
    <w:rsid w:val="00BF03B2"/>
    <w:rsid w:val="00C11DEA"/>
    <w:rsid w:val="00C25AD7"/>
    <w:rsid w:val="00C262EC"/>
    <w:rsid w:val="00C276C2"/>
    <w:rsid w:val="00C36F61"/>
    <w:rsid w:val="00C44C6D"/>
    <w:rsid w:val="00C453A7"/>
    <w:rsid w:val="00C66860"/>
    <w:rsid w:val="00C7023B"/>
    <w:rsid w:val="00C727FE"/>
    <w:rsid w:val="00C73A34"/>
    <w:rsid w:val="00C75231"/>
    <w:rsid w:val="00C84502"/>
    <w:rsid w:val="00C934BC"/>
    <w:rsid w:val="00CA04D1"/>
    <w:rsid w:val="00CB03D0"/>
    <w:rsid w:val="00CB5E06"/>
    <w:rsid w:val="00CC4DC1"/>
    <w:rsid w:val="00CC60E0"/>
    <w:rsid w:val="00CD1D70"/>
    <w:rsid w:val="00CD4897"/>
    <w:rsid w:val="00CD6386"/>
    <w:rsid w:val="00CD69FE"/>
    <w:rsid w:val="00CE0743"/>
    <w:rsid w:val="00CF0D94"/>
    <w:rsid w:val="00D0106C"/>
    <w:rsid w:val="00D06C9C"/>
    <w:rsid w:val="00D3728E"/>
    <w:rsid w:val="00D41EA0"/>
    <w:rsid w:val="00D624FF"/>
    <w:rsid w:val="00D62DEC"/>
    <w:rsid w:val="00D63A6F"/>
    <w:rsid w:val="00D70811"/>
    <w:rsid w:val="00D71A4D"/>
    <w:rsid w:val="00D71ABE"/>
    <w:rsid w:val="00D81A6C"/>
    <w:rsid w:val="00D82F54"/>
    <w:rsid w:val="00D85B15"/>
    <w:rsid w:val="00D9129E"/>
    <w:rsid w:val="00D933D6"/>
    <w:rsid w:val="00DA29F3"/>
    <w:rsid w:val="00DA7A85"/>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6711B"/>
    <w:rsid w:val="00E765F4"/>
    <w:rsid w:val="00E9181F"/>
    <w:rsid w:val="00E92606"/>
    <w:rsid w:val="00E938C6"/>
    <w:rsid w:val="00EA4B99"/>
    <w:rsid w:val="00EA57BF"/>
    <w:rsid w:val="00EA6966"/>
    <w:rsid w:val="00EB022F"/>
    <w:rsid w:val="00EB3678"/>
    <w:rsid w:val="00EB5D5E"/>
    <w:rsid w:val="00EC4D27"/>
    <w:rsid w:val="00EC5058"/>
    <w:rsid w:val="00ED282C"/>
    <w:rsid w:val="00ED3BEE"/>
    <w:rsid w:val="00EE186A"/>
    <w:rsid w:val="00EE27E8"/>
    <w:rsid w:val="00EE322D"/>
    <w:rsid w:val="00EE4E6A"/>
    <w:rsid w:val="00EE6461"/>
    <w:rsid w:val="00EE6F3E"/>
    <w:rsid w:val="00F05C5B"/>
    <w:rsid w:val="00F10AC4"/>
    <w:rsid w:val="00F1486E"/>
    <w:rsid w:val="00F25F7F"/>
    <w:rsid w:val="00F26661"/>
    <w:rsid w:val="00F3346F"/>
    <w:rsid w:val="00F3623E"/>
    <w:rsid w:val="00F44C5E"/>
    <w:rsid w:val="00F47A77"/>
    <w:rsid w:val="00F60B11"/>
    <w:rsid w:val="00F66694"/>
    <w:rsid w:val="00F7330B"/>
    <w:rsid w:val="00F87608"/>
    <w:rsid w:val="00F9119F"/>
    <w:rsid w:val="00F96E2D"/>
    <w:rsid w:val="00FA0F8E"/>
    <w:rsid w:val="00FA4352"/>
    <w:rsid w:val="00FB0C03"/>
    <w:rsid w:val="00FB23AB"/>
    <w:rsid w:val="00FC4B28"/>
    <w:rsid w:val="00FC6406"/>
    <w:rsid w:val="00FD5DC1"/>
    <w:rsid w:val="00FD748A"/>
    <w:rsid w:val="00FE0C76"/>
    <w:rsid w:val="00FE2A03"/>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8C50-479C-4E07-9594-44217833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2491</Words>
  <Characters>14950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13</cp:revision>
  <cp:lastPrinted>2024-05-20T12:41:00Z</cp:lastPrinted>
  <dcterms:created xsi:type="dcterms:W3CDTF">2024-05-20T09:11:00Z</dcterms:created>
  <dcterms:modified xsi:type="dcterms:W3CDTF">2024-05-20T12:41:00Z</dcterms:modified>
</cp:coreProperties>
</file>