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44ED02B0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F27A22">
        <w:rPr>
          <w:rFonts w:ascii="Open Sans" w:hAnsi="Open Sans" w:cs="Open Sans"/>
          <w:bCs/>
          <w:sz w:val="20"/>
          <w:szCs w:val="20"/>
          <w:u w:val="single"/>
        </w:rPr>
        <w:t>5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7CAE71A6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F27A22">
        <w:rPr>
          <w:rFonts w:ascii="Open Sans" w:hAnsi="Open Sans" w:cs="Open Sans"/>
          <w:color w:val="000000"/>
          <w:sz w:val="20"/>
          <w:szCs w:val="20"/>
        </w:rPr>
        <w:t>5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F27A22" w:rsidRPr="00F27A22">
        <w:t>Drzewo gatunku „Śliwa Wiśniowa”</w:t>
      </w:r>
      <w:r w:rsidR="00FF252D" w:rsidRPr="00FF252D"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077ED989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952FD5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97,08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0FEFCB3C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99723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78,12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345DC606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1F4E6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98,18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3061E"/>
    <w:rsid w:val="0073265C"/>
    <w:rsid w:val="0074029C"/>
    <w:rsid w:val="0074324F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2023-11-18T19:30:00Z</dcterms:created>
  <dcterms:modified xsi:type="dcterms:W3CDTF">2023-11-18T19:31:00Z</dcterms:modified>
</cp:coreProperties>
</file>